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rPr>
      </w:pPr>
      <w:r>
        <w:rPr>
          <w:rFonts w:hint="eastAsia" w:ascii="黑体" w:eastAsia="黑体"/>
          <w:sz w:val="44"/>
        </w:rPr>
        <w:t>广东轻工职业技术学院</w:t>
      </w:r>
    </w:p>
    <w:p>
      <w:pPr>
        <w:jc w:val="center"/>
        <w:rPr>
          <w:rFonts w:ascii="黑体" w:eastAsia="黑体"/>
          <w:spacing w:val="-20"/>
          <w:sz w:val="44"/>
          <w:szCs w:val="44"/>
        </w:rPr>
      </w:pPr>
      <w:r>
        <w:rPr>
          <w:rFonts w:hint="eastAsia" w:eastAsia="黑体"/>
          <w:spacing w:val="-20"/>
          <w:sz w:val="44"/>
          <w:szCs w:val="44"/>
        </w:rPr>
        <w:t>2018</w:t>
      </w:r>
      <w:r>
        <w:rPr>
          <w:rFonts w:hint="eastAsia" w:ascii="黑体" w:eastAsia="黑体"/>
          <w:sz w:val="44"/>
        </w:rPr>
        <w:t>年部门决算基本情</w:t>
      </w:r>
      <w:r>
        <w:rPr>
          <w:rFonts w:hint="eastAsia" w:ascii="黑体" w:eastAsia="黑体"/>
          <w:spacing w:val="-20"/>
          <w:sz w:val="44"/>
          <w:szCs w:val="44"/>
        </w:rPr>
        <w:t>况说明</w:t>
      </w:r>
    </w:p>
    <w:p>
      <w:pPr>
        <w:rPr>
          <w:rFonts w:ascii="黑体" w:eastAsia="黑体"/>
          <w:sz w:val="24"/>
        </w:rPr>
      </w:pPr>
    </w:p>
    <w:p>
      <w:pPr>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根据省财政厅《关于进一步推进省级预决算信息公开的意见》（粤财预【2012】197号）的要求，现就我校2018年部门决算基本情况说明如下：</w:t>
      </w:r>
    </w:p>
    <w:p>
      <w:pPr>
        <w:ind w:firstLine="643" w:firstLineChars="200"/>
        <w:rPr>
          <w:rFonts w:ascii="仿宋_GB2312" w:hAnsi="宋体" w:eastAsia="仿宋_GB2312"/>
          <w:b/>
          <w:bCs/>
          <w:color w:val="000000"/>
          <w:sz w:val="32"/>
          <w:szCs w:val="32"/>
        </w:rPr>
      </w:pPr>
      <w:r>
        <w:rPr>
          <w:rFonts w:hint="eastAsia" w:ascii="仿宋_GB2312" w:hAnsi="宋体" w:eastAsia="仿宋_GB2312"/>
          <w:b/>
          <w:bCs/>
          <w:color w:val="000000"/>
          <w:sz w:val="32"/>
          <w:szCs w:val="32"/>
        </w:rPr>
        <w:t>一、部门基本情况</w:t>
      </w:r>
    </w:p>
    <w:p>
      <w:pPr>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（一）部门机构设置、职能</w:t>
      </w:r>
      <w:r>
        <w:rPr>
          <w:rFonts w:ascii="仿宋_GB2312" w:hAnsi="宋体" w:eastAsia="仿宋_GB2312"/>
          <w:color w:val="000000"/>
          <w:sz w:val="32"/>
          <w:szCs w:val="32"/>
        </w:rPr>
        <w:t> </w:t>
      </w:r>
    </w:p>
    <w:p>
      <w:pPr>
        <w:ind w:firstLine="640" w:firstLineChars="200"/>
        <w:rPr>
          <w:rFonts w:ascii="仿宋_GB2312" w:eastAsia="仿宋_GB2312"/>
          <w:bCs/>
          <w:sz w:val="32"/>
          <w:szCs w:val="32"/>
          <w:shd w:val="clear" w:color="auto" w:fill="FFFFFF"/>
        </w:rPr>
      </w:pPr>
      <w:r>
        <w:rPr>
          <w:rFonts w:hint="eastAsia" w:ascii="仿宋_GB2312" w:eastAsia="仿宋_GB2312"/>
          <w:sz w:val="32"/>
          <w:szCs w:val="32"/>
          <w:shd w:val="clear" w:color="auto" w:fill="FFFFFF"/>
        </w:rPr>
        <w:t>学校共有二级机构42个。其中：党政管理13个，群团机构2个，教学教辅机构24个，附属企业1个，直属机构2个。</w:t>
      </w:r>
    </w:p>
    <w:p>
      <w:pPr>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（二）决算年度的主要工作任务</w:t>
      </w:r>
    </w:p>
    <w:p>
      <w:pPr>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1、培养人才。学校围绕地方和行业经济发展的需求培养与现代生产力发展水平及劳动力市场相适应的、具有以某种职业资格为核心的良好职业素质与发展素质的高级技术应用型、创新型人才。</w:t>
      </w:r>
    </w:p>
    <w:p>
      <w:pPr>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2、科学研究。学校开展科学研究，提高科研水平，为企事业单位提供技术支持，走产学研结合的办学之路。</w:t>
      </w:r>
    </w:p>
    <w:p>
      <w:pPr>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3、社会服务。学校搭建产教融合平台，将教师的科研成果向社会推广，转化为新理论、新技术，促进全社会生产力水平的提高，为企业解决应用技术方面的困难；同时满足人民群众不断发展、不断变化的就业、转岗和下岗再就业的需要，举办各类培训班，承接各种技能学习、考试、培训等活动。</w:t>
      </w:r>
    </w:p>
    <w:p>
      <w:pPr>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4、文化传承与创新。学校围绕社会主义核心价值体系教育，发挥地方特有的文化资源优势，建成具有轻工特色的职业教育体系。</w:t>
      </w:r>
    </w:p>
    <w:p>
      <w:pPr>
        <w:ind w:firstLine="643" w:firstLineChars="200"/>
        <w:rPr>
          <w:rFonts w:ascii="仿宋_GB2312" w:hAnsi="宋体" w:eastAsia="仿宋_GB2312"/>
          <w:color w:val="000000"/>
          <w:sz w:val="32"/>
          <w:szCs w:val="32"/>
        </w:rPr>
      </w:pPr>
      <w:r>
        <w:rPr>
          <w:rFonts w:hint="eastAsia" w:ascii="仿宋_GB2312" w:hAnsi="宋体" w:eastAsia="仿宋_GB2312"/>
          <w:b/>
          <w:bCs/>
          <w:color w:val="000000"/>
          <w:sz w:val="32"/>
          <w:szCs w:val="32"/>
        </w:rPr>
        <w:t>二、关于预算执行情况分析</w:t>
      </w:r>
    </w:p>
    <w:p>
      <w:pPr>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（一）2018年收入、支出预算执行情况分析</w:t>
      </w:r>
    </w:p>
    <w:p>
      <w:pPr>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1、收入预算执行情况分析：</w:t>
      </w:r>
    </w:p>
    <w:p>
      <w:pPr>
        <w:ind w:firstLine="480"/>
        <w:rPr>
          <w:rFonts w:ascii="仿宋_GB2312" w:hAnsi="宋体" w:eastAsia="仿宋_GB2312"/>
          <w:color w:val="000000"/>
          <w:sz w:val="32"/>
          <w:szCs w:val="32"/>
        </w:rPr>
      </w:pPr>
      <w:r>
        <w:rPr>
          <w:rFonts w:hint="eastAsia" w:ascii="仿宋_GB2312" w:hAnsi="宋体" w:eastAsia="仿宋_GB2312"/>
          <w:color w:val="000000"/>
          <w:sz w:val="32"/>
          <w:szCs w:val="32"/>
        </w:rPr>
        <w:t>2018年预算总收入45619.66万元，决算总收入53551.78万元，较预算增加7932.12万分元，预算执行率117.4%。其中：</w:t>
      </w:r>
    </w:p>
    <w:p>
      <w:pPr>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财政拨款收入较预算增加8716.00万元，预算执行率132.40%，主要为预算外财政专项拨款增加，包括省完善职业教育专项资金2598万元，现代职业教育质量提升计划中央专项资金2486.63万元，2017离退休绩效补发及住房补贴调整差额1507万元，全日制专科建档立卡学生免学费和生活费补助资金、国家奖助学金1463.25万元，强师工程专项132.17万元，省重点人才工程80万元，2018年省直公费医疗包干单位补助经费203.25万元，高校学生应征入伍服义务兵役国家资助资金等其他专项245.7万元。</w:t>
      </w:r>
    </w:p>
    <w:p>
      <w:pPr>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事业收入较预算减少1387.53万元，预算执行率92.30%，①学费收入上缴财政未返回余额比上年增加约650万元</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fldChar w:fldCharType="begin"/>
      </w:r>
      <w:r>
        <w:rPr>
          <w:rFonts w:hint="eastAsia" w:ascii="仿宋_GB2312" w:hAnsi="宋体" w:eastAsia="仿宋_GB2312"/>
          <w:color w:val="000000"/>
          <w:sz w:val="32"/>
          <w:szCs w:val="32"/>
        </w:rPr>
        <w:instrText xml:space="preserve">= 2 \* GB3</w:instrText>
      </w:r>
      <w:r>
        <w:rPr>
          <w:rFonts w:hint="eastAsia" w:ascii="仿宋_GB2312" w:hAnsi="宋体" w:eastAsia="仿宋_GB2312"/>
          <w:color w:val="000000"/>
          <w:sz w:val="32"/>
          <w:szCs w:val="32"/>
        </w:rPr>
        <w:fldChar w:fldCharType="separate"/>
      </w:r>
      <w:r>
        <w:rPr>
          <w:rFonts w:hint="eastAsia" w:ascii="仿宋_GB2312" w:hAnsi="宋体" w:eastAsia="仿宋_GB2312"/>
          <w:color w:val="000000"/>
          <w:sz w:val="32"/>
          <w:szCs w:val="32"/>
        </w:rPr>
        <w:t>②</w:t>
      </w:r>
      <w:r>
        <w:rPr>
          <w:rFonts w:hint="eastAsia" w:ascii="仿宋_GB2312" w:hAnsi="宋体" w:eastAsia="仿宋_GB2312"/>
          <w:color w:val="000000"/>
          <w:sz w:val="32"/>
          <w:szCs w:val="32"/>
        </w:rPr>
        <w:fldChar w:fldCharType="end"/>
      </w:r>
      <w:r>
        <w:rPr>
          <w:rFonts w:hint="eastAsia" w:ascii="仿宋_GB2312" w:hAnsi="宋体" w:eastAsia="仿宋_GB2312"/>
          <w:color w:val="000000"/>
          <w:sz w:val="32"/>
          <w:szCs w:val="32"/>
        </w:rPr>
        <w:t>因政策原因建档立卡学生减免学费减少收入380万元</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③本年全日制在校生人数比预算减少2</w:t>
      </w:r>
      <w:r>
        <w:rPr>
          <w:rFonts w:ascii="仿宋_GB2312" w:hAnsi="宋体" w:eastAsia="仿宋_GB2312"/>
          <w:color w:val="000000"/>
          <w:sz w:val="32"/>
          <w:szCs w:val="32"/>
        </w:rPr>
        <w:t>31</w:t>
      </w:r>
      <w:r>
        <w:rPr>
          <w:rFonts w:hint="eastAsia" w:ascii="仿宋_GB2312" w:hAnsi="宋体" w:eastAsia="仿宋_GB2312"/>
          <w:color w:val="000000"/>
          <w:sz w:val="32"/>
          <w:szCs w:val="32"/>
        </w:rPr>
        <w:t>人，致学费收入减少1</w:t>
      </w:r>
      <w:r>
        <w:rPr>
          <w:rFonts w:ascii="仿宋_GB2312" w:hAnsi="宋体" w:eastAsia="仿宋_GB2312"/>
          <w:color w:val="000000"/>
          <w:sz w:val="32"/>
          <w:szCs w:val="32"/>
        </w:rPr>
        <w:t>60</w:t>
      </w:r>
      <w:r>
        <w:rPr>
          <w:rFonts w:hint="eastAsia" w:ascii="仿宋_GB2312" w:hAnsi="宋体" w:eastAsia="仿宋_GB2312"/>
          <w:color w:val="000000"/>
          <w:sz w:val="32"/>
          <w:szCs w:val="32"/>
        </w:rPr>
        <w:t>万元</w:t>
      </w:r>
      <w:r>
        <w:rPr>
          <w:rFonts w:hint="eastAsia" w:ascii="仿宋_GB2312" w:hAnsi="宋体" w:eastAsia="仿宋_GB2312"/>
          <w:color w:val="000000"/>
          <w:sz w:val="32"/>
          <w:szCs w:val="32"/>
          <w:lang w:eastAsia="zh-CN"/>
        </w:rPr>
        <w:t>。</w:t>
      </w:r>
      <w:r>
        <w:rPr>
          <w:rFonts w:ascii="仿宋_GB2312" w:hAnsi="宋体" w:eastAsia="仿宋_GB2312"/>
          <w:color w:val="000000"/>
          <w:sz w:val="32"/>
          <w:szCs w:val="32"/>
        </w:rPr>
        <w:fldChar w:fldCharType="begin"/>
      </w:r>
      <w:r>
        <w:rPr>
          <w:rFonts w:hint="eastAsia" w:ascii="仿宋_GB2312" w:hAnsi="宋体" w:eastAsia="仿宋_GB2312"/>
          <w:color w:val="000000"/>
          <w:sz w:val="32"/>
          <w:szCs w:val="32"/>
        </w:rPr>
        <w:instrText xml:space="preserve">= 4 \* GB3</w:instrText>
      </w:r>
      <w:r>
        <w:rPr>
          <w:rFonts w:ascii="仿宋_GB2312" w:hAnsi="宋体" w:eastAsia="仿宋_GB2312"/>
          <w:color w:val="000000"/>
          <w:sz w:val="32"/>
          <w:szCs w:val="32"/>
        </w:rPr>
        <w:fldChar w:fldCharType="separate"/>
      </w:r>
      <w:r>
        <w:rPr>
          <w:rFonts w:hint="eastAsia" w:ascii="仿宋_GB2312" w:hAnsi="宋体" w:eastAsia="仿宋_GB2312"/>
          <w:color w:val="000000"/>
          <w:sz w:val="32"/>
          <w:szCs w:val="32"/>
        </w:rPr>
        <w:t>④</w:t>
      </w:r>
      <w:r>
        <w:rPr>
          <w:rFonts w:ascii="仿宋_GB2312" w:hAnsi="宋体" w:eastAsia="仿宋_GB2312"/>
          <w:color w:val="000000"/>
          <w:sz w:val="32"/>
          <w:szCs w:val="32"/>
        </w:rPr>
        <w:fldChar w:fldCharType="end"/>
      </w:r>
      <w:r>
        <w:rPr>
          <w:rFonts w:hint="eastAsia" w:ascii="仿宋_GB2312" w:hAnsi="宋体" w:eastAsia="仿宋_GB2312"/>
          <w:color w:val="000000"/>
          <w:sz w:val="32"/>
          <w:szCs w:val="32"/>
        </w:rPr>
        <w:t>因学生宿舍空调收费上级未批复，致住宿费收入减少166万元</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⑤应收未收联培本科班合作学费收入3</w:t>
      </w:r>
      <w:r>
        <w:rPr>
          <w:rFonts w:ascii="仿宋_GB2312" w:hAnsi="宋体" w:eastAsia="仿宋_GB2312"/>
          <w:color w:val="000000"/>
          <w:sz w:val="32"/>
          <w:szCs w:val="32"/>
        </w:rPr>
        <w:t>84</w:t>
      </w:r>
      <w:r>
        <w:rPr>
          <w:rFonts w:hint="eastAsia" w:ascii="仿宋_GB2312" w:hAnsi="宋体" w:eastAsia="仿宋_GB2312"/>
          <w:color w:val="000000"/>
          <w:sz w:val="32"/>
          <w:szCs w:val="32"/>
        </w:rPr>
        <w:t>万元。另外本年学校大力拓展社会服务，科研收入实际比预算增加350万元。</w:t>
      </w:r>
    </w:p>
    <w:p>
      <w:pPr>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其他收入较预算增加603.65万元，预算执行率194.90%，</w:t>
      </w:r>
      <w:r>
        <w:rPr>
          <w:rFonts w:ascii="仿宋_GB2312" w:hAnsi="宋体" w:eastAsia="仿宋_GB2312"/>
          <w:color w:val="000000"/>
          <w:sz w:val="32"/>
          <w:szCs w:val="32"/>
        </w:rPr>
        <w:fldChar w:fldCharType="begin"/>
      </w:r>
      <w:r>
        <w:rPr>
          <w:rFonts w:hint="eastAsia" w:ascii="仿宋_GB2312" w:hAnsi="宋体" w:eastAsia="仿宋_GB2312"/>
          <w:color w:val="000000"/>
          <w:sz w:val="32"/>
          <w:szCs w:val="32"/>
        </w:rPr>
        <w:instrText xml:space="preserve">= 1 \* GB3</w:instrText>
      </w:r>
      <w:r>
        <w:rPr>
          <w:rFonts w:ascii="仿宋_GB2312" w:hAnsi="宋体" w:eastAsia="仿宋_GB2312"/>
          <w:color w:val="000000"/>
          <w:sz w:val="32"/>
          <w:szCs w:val="32"/>
        </w:rPr>
        <w:fldChar w:fldCharType="separate"/>
      </w:r>
      <w:r>
        <w:rPr>
          <w:rFonts w:hint="eastAsia" w:ascii="仿宋_GB2312" w:hAnsi="宋体" w:eastAsia="仿宋_GB2312"/>
          <w:color w:val="000000"/>
          <w:sz w:val="32"/>
          <w:szCs w:val="32"/>
        </w:rPr>
        <w:t>①</w:t>
      </w:r>
      <w:r>
        <w:rPr>
          <w:rFonts w:ascii="仿宋_GB2312" w:hAnsi="宋体" w:eastAsia="仿宋_GB2312"/>
          <w:color w:val="000000"/>
          <w:sz w:val="32"/>
          <w:szCs w:val="32"/>
        </w:rPr>
        <w:fldChar w:fldCharType="end"/>
      </w:r>
      <w:r>
        <w:rPr>
          <w:rFonts w:hint="eastAsia" w:ascii="仿宋_GB2312" w:hAnsi="宋体" w:eastAsia="仿宋_GB2312"/>
          <w:color w:val="000000"/>
          <w:sz w:val="32"/>
          <w:szCs w:val="32"/>
        </w:rPr>
        <w:t>根据政府会计实施要求及财会[2018]34号《财政部关于进一步做好政府会计准则制度新旧衔接和加强行政事业单位资产核算的通知》，我校对往来账款进行清理，对实在无法偿付款项转收入，这一事项增加了其他收入345万元</w:t>
      </w:r>
      <w:r>
        <w:rPr>
          <w:rFonts w:hint="eastAsia" w:ascii="仿宋_GB2312" w:hAnsi="宋体" w:eastAsia="仿宋_GB2312"/>
          <w:color w:val="000000"/>
          <w:sz w:val="32"/>
          <w:szCs w:val="32"/>
          <w:lang w:eastAsia="zh-CN"/>
        </w:rPr>
        <w:t>。</w:t>
      </w:r>
      <w:r>
        <w:rPr>
          <w:rFonts w:ascii="仿宋_GB2312" w:hAnsi="宋体" w:eastAsia="仿宋_GB2312"/>
          <w:color w:val="000000"/>
          <w:sz w:val="32"/>
          <w:szCs w:val="32"/>
        </w:rPr>
        <w:fldChar w:fldCharType="begin"/>
      </w:r>
      <w:r>
        <w:rPr>
          <w:rFonts w:hint="eastAsia" w:ascii="仿宋_GB2312" w:hAnsi="宋体" w:eastAsia="仿宋_GB2312"/>
          <w:color w:val="000000"/>
          <w:sz w:val="32"/>
          <w:szCs w:val="32"/>
        </w:rPr>
        <w:instrText xml:space="preserve">= 2 \* GB3</w:instrText>
      </w:r>
      <w:r>
        <w:rPr>
          <w:rFonts w:ascii="仿宋_GB2312" w:hAnsi="宋体" w:eastAsia="仿宋_GB2312"/>
          <w:color w:val="000000"/>
          <w:sz w:val="32"/>
          <w:szCs w:val="32"/>
        </w:rPr>
        <w:fldChar w:fldCharType="separate"/>
      </w:r>
      <w:r>
        <w:rPr>
          <w:rFonts w:hint="eastAsia" w:ascii="仿宋_GB2312" w:hAnsi="宋体" w:eastAsia="仿宋_GB2312"/>
          <w:color w:val="000000"/>
          <w:sz w:val="32"/>
          <w:szCs w:val="32"/>
        </w:rPr>
        <w:t>②</w:t>
      </w:r>
      <w:r>
        <w:rPr>
          <w:rFonts w:ascii="仿宋_GB2312" w:hAnsi="宋体" w:eastAsia="仿宋_GB2312"/>
          <w:color w:val="000000"/>
          <w:sz w:val="32"/>
          <w:szCs w:val="32"/>
        </w:rPr>
        <w:fldChar w:fldCharType="end"/>
      </w:r>
      <w:r>
        <w:rPr>
          <w:rFonts w:hint="eastAsia" w:ascii="仿宋_GB2312" w:hAnsi="宋体" w:eastAsia="仿宋_GB2312"/>
          <w:color w:val="000000"/>
          <w:sz w:val="32"/>
          <w:szCs w:val="32"/>
        </w:rPr>
        <w:t>我校85年校庆，校友及单位捐赠收入增加约120万元</w:t>
      </w:r>
      <w:r>
        <w:rPr>
          <w:rFonts w:hint="eastAsia" w:ascii="仿宋_GB2312" w:hAnsi="宋体" w:eastAsia="仿宋_GB2312"/>
          <w:color w:val="000000"/>
          <w:sz w:val="32"/>
          <w:szCs w:val="32"/>
          <w:lang w:eastAsia="zh-CN"/>
        </w:rPr>
        <w:t>。</w:t>
      </w:r>
      <w:r>
        <w:rPr>
          <w:rFonts w:ascii="仿宋_GB2312" w:hAnsi="宋体" w:eastAsia="仿宋_GB2312"/>
          <w:color w:val="000000"/>
          <w:sz w:val="32"/>
          <w:szCs w:val="32"/>
        </w:rPr>
        <w:fldChar w:fldCharType="begin"/>
      </w:r>
      <w:r>
        <w:rPr>
          <w:rFonts w:hint="eastAsia" w:ascii="仿宋_GB2312" w:hAnsi="宋体" w:eastAsia="仿宋_GB2312"/>
          <w:color w:val="000000"/>
          <w:sz w:val="32"/>
          <w:szCs w:val="32"/>
        </w:rPr>
        <w:instrText xml:space="preserve">= 3 \* GB3</w:instrText>
      </w:r>
      <w:r>
        <w:rPr>
          <w:rFonts w:ascii="仿宋_GB2312" w:hAnsi="宋体" w:eastAsia="仿宋_GB2312"/>
          <w:color w:val="000000"/>
          <w:sz w:val="32"/>
          <w:szCs w:val="32"/>
        </w:rPr>
        <w:fldChar w:fldCharType="separate"/>
      </w:r>
      <w:r>
        <w:rPr>
          <w:rFonts w:hint="eastAsia" w:ascii="仿宋_GB2312" w:hAnsi="宋体" w:eastAsia="仿宋_GB2312"/>
          <w:color w:val="000000"/>
          <w:sz w:val="32"/>
          <w:szCs w:val="32"/>
        </w:rPr>
        <w:t>③</w:t>
      </w:r>
      <w:r>
        <w:rPr>
          <w:rFonts w:ascii="仿宋_GB2312" w:hAnsi="宋体" w:eastAsia="仿宋_GB2312"/>
          <w:color w:val="000000"/>
          <w:sz w:val="32"/>
          <w:szCs w:val="32"/>
        </w:rPr>
        <w:fldChar w:fldCharType="end"/>
      </w:r>
      <w:r>
        <w:rPr>
          <w:rFonts w:hint="eastAsia" w:ascii="仿宋_GB2312" w:hAnsi="宋体" w:eastAsia="仿宋_GB2312"/>
          <w:color w:val="000000"/>
          <w:sz w:val="32"/>
          <w:szCs w:val="32"/>
        </w:rPr>
        <w:t>通过银行的竞争，获得存量资金较高存款利率使利息收入增加110万元。另外其他非专项收入增加约30万元。。</w:t>
      </w:r>
    </w:p>
    <w:p>
      <w:pPr>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2、支出预算执行情况分析：</w:t>
      </w:r>
    </w:p>
    <w:p>
      <w:pPr>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2018年预算总支出58525.10万元，决算总支出58604.34万元，较预算增加79.24万元，预算执行率100.10%。其中：人员支出33318.94万元，较预算增加2154.78万元，主要是绩效工资预算按16年以前上级批复的人均数编制，实际按从新核定后的人均绩效执行，对比预算增加支出621万元；按政策发放预算未含离退休人员2017年核增绩效1209万元。</w:t>
      </w:r>
    </w:p>
    <w:p>
      <w:pPr>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（二）2018年与2017年收支决算对比分析</w:t>
      </w:r>
    </w:p>
    <w:p>
      <w:pPr>
        <w:ind w:firstLine="640" w:firstLineChars="200"/>
        <w:rPr>
          <w:rFonts w:ascii="仿宋_GB2312" w:hAnsi="宋体" w:eastAsia="仿宋_GB2312"/>
          <w:color w:val="000000"/>
          <w:sz w:val="32"/>
          <w:szCs w:val="32"/>
        </w:rPr>
      </w:pPr>
      <w:r>
        <w:rPr>
          <w:rFonts w:hint="eastAsia" w:ascii="仿宋_GB2312" w:eastAsia="仿宋_GB2312"/>
          <w:sz w:val="32"/>
          <w:szCs w:val="32"/>
        </w:rPr>
        <w:t>1</w:t>
      </w:r>
      <w:r>
        <w:rPr>
          <w:rFonts w:hint="eastAsia" w:ascii="仿宋_GB2312" w:hAnsi="宋体" w:eastAsia="仿宋_GB2312"/>
          <w:color w:val="000000"/>
          <w:sz w:val="32"/>
          <w:szCs w:val="32"/>
        </w:rPr>
        <w:t>、收入与上年同期对比减少原因分析：</w:t>
      </w:r>
    </w:p>
    <w:p>
      <w:pPr>
        <w:ind w:firstLine="640" w:firstLineChars="200"/>
        <w:rPr>
          <w:rFonts w:ascii="仿宋_GB2312" w:hAnsi="宋体" w:eastAsia="仿宋_GB2312"/>
          <w:color w:val="000000"/>
          <w:sz w:val="32"/>
          <w:szCs w:val="32"/>
        </w:rPr>
      </w:pPr>
      <w:r>
        <w:rPr>
          <w:rFonts w:hint="eastAsia" w:ascii="仿宋_GB2312" w:eastAsia="仿宋_GB2312"/>
          <w:sz w:val="32"/>
          <w:szCs w:val="32"/>
        </w:rPr>
        <w:t>2018年收入为533551.78万元，比上年增加了1623.51万元，增幅3.13%。</w:t>
      </w:r>
      <w:r>
        <w:rPr>
          <w:rFonts w:hint="eastAsia" w:ascii="仿宋_GB2312" w:hAnsi="宋体" w:eastAsia="仿宋_GB2312"/>
          <w:color w:val="000000"/>
          <w:sz w:val="32"/>
          <w:szCs w:val="32"/>
        </w:rPr>
        <w:t>其中：</w:t>
      </w:r>
    </w:p>
    <w:p>
      <w:pPr>
        <w:ind w:firstLine="640" w:firstLineChars="200"/>
        <w:rPr>
          <w:rFonts w:ascii="仿宋_GB2312" w:hAnsi="宋体" w:eastAsia="仿宋_GB2312"/>
          <w:color w:val="000000"/>
          <w:sz w:val="32"/>
          <w:szCs w:val="32"/>
        </w:rPr>
      </w:pPr>
      <w:r>
        <w:rPr>
          <w:rFonts w:ascii="仿宋_GB2312" w:hAnsi="宋体" w:eastAsia="仿宋_GB2312"/>
          <w:color w:val="000000"/>
          <w:sz w:val="32"/>
          <w:szCs w:val="32"/>
        </w:rPr>
        <w:fldChar w:fldCharType="begin"/>
      </w:r>
      <w:r>
        <w:rPr>
          <w:rFonts w:ascii="仿宋_GB2312" w:hAnsi="宋体" w:eastAsia="仿宋_GB2312"/>
          <w:color w:val="000000"/>
          <w:sz w:val="32"/>
          <w:szCs w:val="32"/>
        </w:rPr>
        <w:instrText xml:space="preserve"> </w:instrText>
      </w:r>
      <w:r>
        <w:rPr>
          <w:rFonts w:hint="eastAsia" w:ascii="仿宋_GB2312" w:hAnsi="宋体" w:eastAsia="仿宋_GB2312"/>
          <w:color w:val="000000"/>
          <w:sz w:val="32"/>
          <w:szCs w:val="32"/>
        </w:rPr>
        <w:instrText xml:space="preserve">= 1 \* GB2</w:instrText>
      </w:r>
      <w:r>
        <w:rPr>
          <w:rFonts w:ascii="仿宋_GB2312" w:hAnsi="宋体" w:eastAsia="仿宋_GB2312"/>
          <w:color w:val="000000"/>
          <w:sz w:val="32"/>
          <w:szCs w:val="32"/>
        </w:rPr>
        <w:instrText xml:space="preserve"> </w:instrText>
      </w:r>
      <w:r>
        <w:rPr>
          <w:rFonts w:ascii="仿宋_GB2312" w:hAnsi="宋体" w:eastAsia="仿宋_GB2312"/>
          <w:color w:val="000000"/>
          <w:sz w:val="32"/>
          <w:szCs w:val="32"/>
        </w:rPr>
        <w:fldChar w:fldCharType="separate"/>
      </w:r>
      <w:r>
        <w:rPr>
          <w:rFonts w:hint="eastAsia" w:ascii="仿宋_GB2312" w:hAnsi="宋体" w:eastAsia="仿宋_GB2312"/>
          <w:color w:val="000000"/>
          <w:sz w:val="32"/>
          <w:szCs w:val="32"/>
        </w:rPr>
        <w:t>⑴</w:t>
      </w:r>
      <w:r>
        <w:rPr>
          <w:rFonts w:ascii="仿宋_GB2312" w:hAnsi="宋体" w:eastAsia="仿宋_GB2312"/>
          <w:color w:val="000000"/>
          <w:sz w:val="32"/>
          <w:szCs w:val="32"/>
        </w:rPr>
        <w:fldChar w:fldCharType="end"/>
      </w:r>
      <w:r>
        <w:rPr>
          <w:rFonts w:hint="eastAsia" w:ascii="仿宋_GB2312" w:hAnsi="宋体" w:eastAsia="仿宋_GB2312"/>
          <w:color w:val="000000"/>
          <w:sz w:val="32"/>
          <w:szCs w:val="32"/>
        </w:rPr>
        <w:t>财政拨款同比增加1500.16万元，增幅4.40%，主要是2018年学校取得创强奖补专项4515万元，奖助学金等各类专项3727.28万元，比上年分别增加1515万元、474.03万元；科研及其他专项拨款增加410万元，生均拨款比上年减少899万元，以上因素共同影响学校财政拨款比上年增加1500万元。</w:t>
      </w:r>
    </w:p>
    <w:p>
      <w:pPr>
        <w:ind w:firstLine="640" w:firstLineChars="200"/>
        <w:rPr>
          <w:rFonts w:ascii="仿宋_GB2312" w:hAnsi="宋体" w:eastAsia="仿宋_GB2312"/>
          <w:color w:val="000000"/>
          <w:sz w:val="32"/>
          <w:szCs w:val="32"/>
        </w:rPr>
      </w:pPr>
      <w:r>
        <w:rPr>
          <w:rFonts w:ascii="仿宋_GB2312" w:hAnsi="宋体" w:eastAsia="仿宋_GB2312"/>
          <w:color w:val="000000"/>
          <w:sz w:val="32"/>
          <w:szCs w:val="32"/>
        </w:rPr>
        <w:fldChar w:fldCharType="begin"/>
      </w:r>
      <w:r>
        <w:rPr>
          <w:rFonts w:ascii="仿宋_GB2312" w:hAnsi="宋体" w:eastAsia="仿宋_GB2312"/>
          <w:color w:val="000000"/>
          <w:sz w:val="32"/>
          <w:szCs w:val="32"/>
        </w:rPr>
        <w:instrText xml:space="preserve"> </w:instrText>
      </w:r>
      <w:r>
        <w:rPr>
          <w:rFonts w:hint="eastAsia" w:ascii="仿宋_GB2312" w:hAnsi="宋体" w:eastAsia="仿宋_GB2312"/>
          <w:color w:val="000000"/>
          <w:sz w:val="32"/>
          <w:szCs w:val="32"/>
        </w:rPr>
        <w:instrText xml:space="preserve">= 2 \* GB2</w:instrText>
      </w:r>
      <w:r>
        <w:rPr>
          <w:rFonts w:ascii="仿宋_GB2312" w:hAnsi="宋体" w:eastAsia="仿宋_GB2312"/>
          <w:color w:val="000000"/>
          <w:sz w:val="32"/>
          <w:szCs w:val="32"/>
        </w:rPr>
        <w:instrText xml:space="preserve"> </w:instrText>
      </w:r>
      <w:r>
        <w:rPr>
          <w:rFonts w:ascii="仿宋_GB2312" w:hAnsi="宋体" w:eastAsia="仿宋_GB2312"/>
          <w:color w:val="000000"/>
          <w:sz w:val="32"/>
          <w:szCs w:val="32"/>
        </w:rPr>
        <w:fldChar w:fldCharType="separate"/>
      </w:r>
      <w:r>
        <w:rPr>
          <w:rFonts w:hint="eastAsia" w:ascii="仿宋_GB2312" w:hAnsi="宋体" w:eastAsia="仿宋_GB2312"/>
          <w:color w:val="000000"/>
          <w:sz w:val="32"/>
          <w:szCs w:val="32"/>
        </w:rPr>
        <w:t>⑵</w:t>
      </w:r>
      <w:r>
        <w:rPr>
          <w:rFonts w:ascii="仿宋_GB2312" w:hAnsi="宋体" w:eastAsia="仿宋_GB2312"/>
          <w:color w:val="000000"/>
          <w:sz w:val="32"/>
          <w:szCs w:val="32"/>
        </w:rPr>
        <w:fldChar w:fldCharType="end"/>
      </w:r>
      <w:r>
        <w:rPr>
          <w:rFonts w:hint="eastAsia" w:ascii="仿宋_GB2312" w:hAnsi="宋体" w:eastAsia="仿宋_GB2312"/>
          <w:color w:val="000000"/>
          <w:sz w:val="32"/>
          <w:szCs w:val="32"/>
        </w:rPr>
        <w:t>事业收入减少242.88万元，减幅1.43%,主要是受上缴财政未返拨及建档立卡学生减免学费影响，学费住宿费收入比上年减少749万元；培训收入769万元，同比增加338万元；科研收入比上年增加约173万元。各项共同影响事业收入减少242.88万元。</w:t>
      </w:r>
    </w:p>
    <w:p>
      <w:pPr>
        <w:ind w:firstLine="480"/>
        <w:rPr>
          <w:rFonts w:ascii="仿宋_GB2312" w:hAnsi="宋体" w:eastAsia="仿宋_GB2312"/>
          <w:color w:val="000000"/>
          <w:sz w:val="32"/>
          <w:szCs w:val="32"/>
        </w:rPr>
      </w:pPr>
      <w:r>
        <w:rPr>
          <w:rFonts w:ascii="仿宋_GB2312" w:hAnsi="宋体" w:eastAsia="仿宋_GB2312"/>
          <w:color w:val="000000"/>
          <w:sz w:val="32"/>
          <w:szCs w:val="32"/>
        </w:rPr>
        <w:fldChar w:fldCharType="begin"/>
      </w:r>
      <w:r>
        <w:rPr>
          <w:rFonts w:ascii="仿宋_GB2312" w:hAnsi="宋体" w:eastAsia="仿宋_GB2312"/>
          <w:color w:val="000000"/>
          <w:sz w:val="32"/>
          <w:szCs w:val="32"/>
        </w:rPr>
        <w:instrText xml:space="preserve"> </w:instrText>
      </w:r>
      <w:r>
        <w:rPr>
          <w:rFonts w:hint="eastAsia" w:ascii="仿宋_GB2312" w:hAnsi="宋体" w:eastAsia="仿宋_GB2312"/>
          <w:color w:val="000000"/>
          <w:sz w:val="32"/>
          <w:szCs w:val="32"/>
        </w:rPr>
        <w:instrText xml:space="preserve">= 3 \* GB2</w:instrText>
      </w:r>
      <w:r>
        <w:rPr>
          <w:rFonts w:ascii="仿宋_GB2312" w:hAnsi="宋体" w:eastAsia="仿宋_GB2312"/>
          <w:color w:val="000000"/>
          <w:sz w:val="32"/>
          <w:szCs w:val="32"/>
        </w:rPr>
        <w:instrText xml:space="preserve"> </w:instrText>
      </w:r>
      <w:r>
        <w:rPr>
          <w:rFonts w:ascii="仿宋_GB2312" w:hAnsi="宋体" w:eastAsia="仿宋_GB2312"/>
          <w:color w:val="000000"/>
          <w:sz w:val="32"/>
          <w:szCs w:val="32"/>
        </w:rPr>
        <w:fldChar w:fldCharType="separate"/>
      </w:r>
      <w:r>
        <w:rPr>
          <w:rFonts w:hint="eastAsia" w:ascii="仿宋_GB2312" w:hAnsi="宋体" w:eastAsia="仿宋_GB2312"/>
          <w:color w:val="000000"/>
          <w:sz w:val="32"/>
          <w:szCs w:val="32"/>
        </w:rPr>
        <w:t>⑶</w:t>
      </w:r>
      <w:r>
        <w:rPr>
          <w:rFonts w:ascii="仿宋_GB2312" w:hAnsi="宋体" w:eastAsia="仿宋_GB2312"/>
          <w:color w:val="000000"/>
          <w:sz w:val="32"/>
          <w:szCs w:val="32"/>
        </w:rPr>
        <w:fldChar w:fldCharType="end"/>
      </w:r>
      <w:r>
        <w:rPr>
          <w:rFonts w:hint="eastAsia" w:ascii="仿宋_GB2312" w:hAnsi="宋体" w:eastAsia="仿宋_GB2312"/>
          <w:color w:val="000000"/>
          <w:sz w:val="32"/>
          <w:szCs w:val="32"/>
        </w:rPr>
        <w:t>其他收入比上年同期增加366.23万元，增幅41.93%，主要原因是：</w:t>
      </w:r>
      <w:r>
        <w:rPr>
          <w:rFonts w:ascii="仿宋_GB2312" w:hAnsi="宋体" w:eastAsia="仿宋_GB2312"/>
          <w:color w:val="000000"/>
          <w:sz w:val="32"/>
          <w:szCs w:val="32"/>
        </w:rPr>
        <w:fldChar w:fldCharType="begin"/>
      </w:r>
      <w:r>
        <w:rPr>
          <w:rFonts w:hint="eastAsia" w:ascii="仿宋_GB2312" w:hAnsi="宋体" w:eastAsia="仿宋_GB2312"/>
          <w:color w:val="000000"/>
          <w:sz w:val="32"/>
          <w:szCs w:val="32"/>
        </w:rPr>
        <w:instrText xml:space="preserve">= 1 \* GB3</w:instrText>
      </w:r>
      <w:r>
        <w:rPr>
          <w:rFonts w:ascii="仿宋_GB2312" w:hAnsi="宋体" w:eastAsia="仿宋_GB2312"/>
          <w:color w:val="000000"/>
          <w:sz w:val="32"/>
          <w:szCs w:val="32"/>
        </w:rPr>
        <w:fldChar w:fldCharType="separate"/>
      </w:r>
      <w:r>
        <w:rPr>
          <w:rFonts w:hint="eastAsia" w:ascii="仿宋_GB2312" w:hAnsi="宋体" w:eastAsia="仿宋_GB2312"/>
          <w:color w:val="000000"/>
          <w:sz w:val="32"/>
          <w:szCs w:val="32"/>
        </w:rPr>
        <w:t>①</w:t>
      </w:r>
      <w:r>
        <w:rPr>
          <w:rFonts w:ascii="仿宋_GB2312" w:hAnsi="宋体" w:eastAsia="仿宋_GB2312"/>
          <w:color w:val="000000"/>
          <w:sz w:val="32"/>
          <w:szCs w:val="32"/>
        </w:rPr>
        <w:fldChar w:fldCharType="end"/>
      </w:r>
      <w:r>
        <w:rPr>
          <w:rFonts w:hint="eastAsia" w:ascii="仿宋_GB2312" w:hAnsi="宋体" w:eastAsia="仿宋_GB2312"/>
          <w:color w:val="000000"/>
          <w:sz w:val="32"/>
          <w:szCs w:val="32"/>
        </w:rPr>
        <w:t>根据政府会计实施要求及有关衍接规定，我校对往来账款进行清理，对账龄超5年查实无法偿付款项转收入，影响了非专项收入增加345万元。</w:t>
      </w:r>
      <w:r>
        <w:rPr>
          <w:rFonts w:ascii="仿宋_GB2312" w:hAnsi="宋体" w:eastAsia="仿宋_GB2312"/>
          <w:color w:val="000000"/>
          <w:sz w:val="32"/>
          <w:szCs w:val="32"/>
        </w:rPr>
        <w:fldChar w:fldCharType="begin"/>
      </w:r>
      <w:r>
        <w:rPr>
          <w:rFonts w:hint="eastAsia" w:ascii="仿宋_GB2312" w:hAnsi="宋体" w:eastAsia="仿宋_GB2312"/>
          <w:color w:val="000000"/>
          <w:sz w:val="32"/>
          <w:szCs w:val="32"/>
        </w:rPr>
        <w:instrText xml:space="preserve">= 2 \* GB3</w:instrText>
      </w:r>
      <w:r>
        <w:rPr>
          <w:rFonts w:ascii="仿宋_GB2312" w:hAnsi="宋体" w:eastAsia="仿宋_GB2312"/>
          <w:color w:val="000000"/>
          <w:sz w:val="32"/>
          <w:szCs w:val="32"/>
        </w:rPr>
        <w:fldChar w:fldCharType="separate"/>
      </w:r>
      <w:r>
        <w:rPr>
          <w:rFonts w:hint="eastAsia" w:ascii="仿宋_GB2312" w:hAnsi="宋体" w:eastAsia="仿宋_GB2312"/>
          <w:color w:val="000000"/>
          <w:sz w:val="32"/>
          <w:szCs w:val="32"/>
        </w:rPr>
        <w:t>②</w:t>
      </w:r>
      <w:r>
        <w:rPr>
          <w:rFonts w:ascii="仿宋_GB2312" w:hAnsi="宋体" w:eastAsia="仿宋_GB2312"/>
          <w:color w:val="000000"/>
          <w:sz w:val="32"/>
          <w:szCs w:val="32"/>
        </w:rPr>
        <w:fldChar w:fldCharType="end"/>
      </w:r>
      <w:r>
        <w:rPr>
          <w:rFonts w:hint="eastAsia" w:ascii="仿宋_GB2312" w:hAnsi="宋体" w:eastAsia="仿宋_GB2312"/>
          <w:color w:val="000000"/>
          <w:sz w:val="32"/>
          <w:szCs w:val="32"/>
        </w:rPr>
        <w:t>利息收入比上年增加107万元。</w:t>
      </w:r>
      <w:r>
        <w:rPr>
          <w:rFonts w:ascii="仿宋_GB2312" w:hAnsi="宋体" w:eastAsia="仿宋_GB2312"/>
          <w:color w:val="000000"/>
          <w:sz w:val="32"/>
          <w:szCs w:val="32"/>
        </w:rPr>
        <w:fldChar w:fldCharType="begin"/>
      </w:r>
      <w:r>
        <w:rPr>
          <w:rFonts w:hint="eastAsia" w:ascii="仿宋_GB2312" w:hAnsi="宋体" w:eastAsia="仿宋_GB2312"/>
          <w:color w:val="000000"/>
          <w:sz w:val="32"/>
          <w:szCs w:val="32"/>
        </w:rPr>
        <w:instrText xml:space="preserve">= 3 \* GB3</w:instrText>
      </w:r>
      <w:r>
        <w:rPr>
          <w:rFonts w:ascii="仿宋_GB2312" w:hAnsi="宋体" w:eastAsia="仿宋_GB2312"/>
          <w:color w:val="000000"/>
          <w:sz w:val="32"/>
          <w:szCs w:val="32"/>
        </w:rPr>
        <w:fldChar w:fldCharType="separate"/>
      </w:r>
      <w:r>
        <w:rPr>
          <w:rFonts w:hint="eastAsia" w:ascii="仿宋_GB2312" w:hAnsi="宋体" w:eastAsia="仿宋_GB2312"/>
          <w:color w:val="000000"/>
          <w:sz w:val="32"/>
          <w:szCs w:val="32"/>
        </w:rPr>
        <w:t>③</w:t>
      </w:r>
      <w:r>
        <w:rPr>
          <w:rFonts w:ascii="仿宋_GB2312" w:hAnsi="宋体" w:eastAsia="仿宋_GB2312"/>
          <w:color w:val="000000"/>
          <w:sz w:val="32"/>
          <w:szCs w:val="32"/>
        </w:rPr>
        <w:fldChar w:fldCharType="end"/>
      </w:r>
      <w:r>
        <w:rPr>
          <w:rFonts w:hint="eastAsia" w:ascii="仿宋_GB2312" w:hAnsi="宋体" w:eastAsia="仿宋_GB2312"/>
          <w:color w:val="000000"/>
          <w:sz w:val="32"/>
          <w:szCs w:val="32"/>
        </w:rPr>
        <w:t>我校85年校庆，校友及单位捐赠收入比上年增加约120万元。</w:t>
      </w:r>
      <w:r>
        <w:rPr>
          <w:rFonts w:ascii="仿宋_GB2312" w:hAnsi="宋体" w:eastAsia="仿宋_GB2312"/>
          <w:color w:val="000000"/>
          <w:sz w:val="32"/>
          <w:szCs w:val="32"/>
        </w:rPr>
        <w:fldChar w:fldCharType="begin"/>
      </w:r>
      <w:r>
        <w:rPr>
          <w:rFonts w:hint="eastAsia" w:ascii="仿宋_GB2312" w:hAnsi="宋体" w:eastAsia="仿宋_GB2312"/>
          <w:color w:val="000000"/>
          <w:sz w:val="32"/>
          <w:szCs w:val="32"/>
        </w:rPr>
        <w:instrText xml:space="preserve">= 4 \* GB3</w:instrText>
      </w:r>
      <w:r>
        <w:rPr>
          <w:rFonts w:ascii="仿宋_GB2312" w:hAnsi="宋体" w:eastAsia="仿宋_GB2312"/>
          <w:color w:val="000000"/>
          <w:sz w:val="32"/>
          <w:szCs w:val="32"/>
        </w:rPr>
        <w:fldChar w:fldCharType="separate"/>
      </w:r>
      <w:r>
        <w:rPr>
          <w:rFonts w:hint="eastAsia" w:ascii="仿宋_GB2312" w:hAnsi="宋体" w:eastAsia="仿宋_GB2312"/>
          <w:color w:val="000000"/>
          <w:sz w:val="32"/>
          <w:szCs w:val="32"/>
        </w:rPr>
        <w:t>④</w:t>
      </w:r>
      <w:r>
        <w:rPr>
          <w:rFonts w:ascii="仿宋_GB2312" w:hAnsi="宋体" w:eastAsia="仿宋_GB2312"/>
          <w:color w:val="000000"/>
          <w:sz w:val="32"/>
          <w:szCs w:val="32"/>
        </w:rPr>
        <w:fldChar w:fldCharType="end"/>
      </w:r>
      <w:r>
        <w:rPr>
          <w:rFonts w:hint="eastAsia" w:ascii="仿宋_GB2312" w:hAnsi="宋体" w:eastAsia="仿宋_GB2312"/>
          <w:color w:val="000000"/>
          <w:sz w:val="32"/>
          <w:szCs w:val="32"/>
        </w:rPr>
        <w:t>场地管理费、校办企业投资收入比上年减少173万元。</w:t>
      </w:r>
    </w:p>
    <w:p>
      <w:pPr>
        <w:ind w:firstLine="640" w:firstLineChars="200"/>
        <w:rPr>
          <w:rFonts w:ascii="仿宋_GB2312" w:hAnsi="宋体" w:eastAsia="仿宋_GB2312"/>
          <w:color w:val="000000"/>
          <w:sz w:val="32"/>
          <w:szCs w:val="32"/>
          <w:highlight w:val="yellow"/>
        </w:rPr>
      </w:pPr>
    </w:p>
    <w:p>
      <w:pPr>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2、支出与上年同期对比增加原因分析：</w:t>
      </w:r>
    </w:p>
    <w:p>
      <w:pPr>
        <w:ind w:firstLine="640" w:firstLineChars="200"/>
        <w:rPr>
          <w:rFonts w:ascii="仿宋_GB2312" w:hAnsi="宋体" w:eastAsia="仿宋_GB2312"/>
          <w:color w:val="000000"/>
          <w:sz w:val="32"/>
          <w:szCs w:val="32"/>
        </w:rPr>
      </w:pPr>
      <w:r>
        <w:rPr>
          <w:rFonts w:hint="eastAsia" w:ascii="仿宋_GB2312" w:eastAsia="仿宋_GB2312"/>
          <w:sz w:val="32"/>
          <w:szCs w:val="32"/>
        </w:rPr>
        <w:t>2018年支出58604.34万元，比上年增加2448.04万元，增幅4.40%。</w:t>
      </w:r>
      <w:r>
        <w:rPr>
          <w:rFonts w:hint="eastAsia" w:ascii="仿宋_GB2312" w:hAnsi="宋体" w:eastAsia="仿宋_GB2312"/>
          <w:color w:val="000000"/>
          <w:sz w:val="32"/>
          <w:szCs w:val="32"/>
        </w:rPr>
        <w:t>其中：</w:t>
      </w:r>
    </w:p>
    <w:p>
      <w:pPr>
        <w:ind w:firstLine="640" w:firstLineChars="200"/>
        <w:rPr>
          <w:rFonts w:ascii="仿宋_GB2312" w:hAnsi="宋体" w:eastAsia="仿宋_GB2312"/>
          <w:color w:val="000000"/>
          <w:sz w:val="32"/>
          <w:szCs w:val="32"/>
        </w:rPr>
      </w:pPr>
      <w:r>
        <w:rPr>
          <w:rFonts w:ascii="仿宋_GB2312" w:hAnsi="宋体" w:eastAsia="仿宋_GB2312"/>
          <w:color w:val="000000"/>
          <w:sz w:val="32"/>
          <w:szCs w:val="32"/>
        </w:rPr>
        <w:fldChar w:fldCharType="begin"/>
      </w:r>
      <w:r>
        <w:rPr>
          <w:rFonts w:ascii="仿宋_GB2312" w:hAnsi="宋体" w:eastAsia="仿宋_GB2312"/>
          <w:color w:val="000000"/>
          <w:sz w:val="32"/>
          <w:szCs w:val="32"/>
        </w:rPr>
        <w:instrText xml:space="preserve"> </w:instrText>
      </w:r>
      <w:r>
        <w:rPr>
          <w:rFonts w:hint="eastAsia" w:ascii="仿宋_GB2312" w:hAnsi="宋体" w:eastAsia="仿宋_GB2312"/>
          <w:color w:val="000000"/>
          <w:sz w:val="32"/>
          <w:szCs w:val="32"/>
        </w:rPr>
        <w:instrText xml:space="preserve">= 1 \* GB2</w:instrText>
      </w:r>
      <w:r>
        <w:rPr>
          <w:rFonts w:ascii="仿宋_GB2312" w:hAnsi="宋体" w:eastAsia="仿宋_GB2312"/>
          <w:color w:val="000000"/>
          <w:sz w:val="32"/>
          <w:szCs w:val="32"/>
        </w:rPr>
        <w:instrText xml:space="preserve"> </w:instrText>
      </w:r>
      <w:r>
        <w:rPr>
          <w:rFonts w:ascii="仿宋_GB2312" w:hAnsi="宋体" w:eastAsia="仿宋_GB2312"/>
          <w:color w:val="000000"/>
          <w:sz w:val="32"/>
          <w:szCs w:val="32"/>
        </w:rPr>
        <w:fldChar w:fldCharType="separate"/>
      </w:r>
      <w:r>
        <w:rPr>
          <w:rFonts w:hint="eastAsia" w:ascii="仿宋_GB2312" w:hAnsi="宋体" w:eastAsia="仿宋_GB2312"/>
          <w:color w:val="000000"/>
          <w:sz w:val="32"/>
          <w:szCs w:val="32"/>
        </w:rPr>
        <w:t>⑴</w:t>
      </w:r>
      <w:r>
        <w:rPr>
          <w:rFonts w:ascii="仿宋_GB2312" w:hAnsi="宋体" w:eastAsia="仿宋_GB2312"/>
          <w:color w:val="000000"/>
          <w:sz w:val="32"/>
          <w:szCs w:val="32"/>
        </w:rPr>
        <w:fldChar w:fldCharType="end"/>
      </w:r>
      <w:r>
        <w:rPr>
          <w:rFonts w:hint="eastAsia" w:ascii="仿宋_GB2312" w:hAnsi="宋体" w:eastAsia="仿宋_GB2312"/>
          <w:color w:val="000000"/>
          <w:sz w:val="32"/>
          <w:szCs w:val="32"/>
        </w:rPr>
        <w:t>工资福利费支出29597.70万元，较上年度增加7899.20万元，增幅36.40%。主要原因是根据经济分类改革要求较上年增加了住房公积金2255万元，住房改革性补贴3229万元以及增员增资等。</w:t>
      </w:r>
    </w:p>
    <w:p>
      <w:pPr>
        <w:ind w:firstLine="640" w:firstLineChars="200"/>
        <w:rPr>
          <w:rFonts w:ascii="仿宋_GB2312" w:hAnsi="宋体" w:eastAsia="仿宋_GB2312"/>
          <w:color w:val="000000"/>
          <w:sz w:val="32"/>
          <w:szCs w:val="32"/>
        </w:rPr>
      </w:pPr>
      <w:r>
        <w:rPr>
          <w:rFonts w:ascii="仿宋_GB2312" w:hAnsi="宋体" w:eastAsia="仿宋_GB2312"/>
          <w:color w:val="000000"/>
          <w:sz w:val="32"/>
          <w:szCs w:val="32"/>
        </w:rPr>
        <w:fldChar w:fldCharType="begin"/>
      </w:r>
      <w:r>
        <w:rPr>
          <w:rFonts w:ascii="仿宋_GB2312" w:hAnsi="宋体" w:eastAsia="仿宋_GB2312"/>
          <w:color w:val="000000"/>
          <w:sz w:val="32"/>
          <w:szCs w:val="32"/>
        </w:rPr>
        <w:instrText xml:space="preserve"> </w:instrText>
      </w:r>
      <w:r>
        <w:rPr>
          <w:rFonts w:hint="eastAsia" w:ascii="仿宋_GB2312" w:hAnsi="宋体" w:eastAsia="仿宋_GB2312"/>
          <w:color w:val="000000"/>
          <w:sz w:val="32"/>
          <w:szCs w:val="32"/>
        </w:rPr>
        <w:instrText xml:space="preserve">= 2 \* GB2</w:instrText>
      </w:r>
      <w:r>
        <w:rPr>
          <w:rFonts w:ascii="仿宋_GB2312" w:hAnsi="宋体" w:eastAsia="仿宋_GB2312"/>
          <w:color w:val="000000"/>
          <w:sz w:val="32"/>
          <w:szCs w:val="32"/>
        </w:rPr>
        <w:instrText xml:space="preserve"> </w:instrText>
      </w:r>
      <w:r>
        <w:rPr>
          <w:rFonts w:ascii="仿宋_GB2312" w:hAnsi="宋体" w:eastAsia="仿宋_GB2312"/>
          <w:color w:val="000000"/>
          <w:sz w:val="32"/>
          <w:szCs w:val="32"/>
        </w:rPr>
        <w:fldChar w:fldCharType="separate"/>
      </w:r>
      <w:r>
        <w:rPr>
          <w:rFonts w:hint="eastAsia" w:ascii="仿宋_GB2312" w:hAnsi="宋体" w:eastAsia="仿宋_GB2312"/>
          <w:color w:val="000000"/>
          <w:sz w:val="32"/>
          <w:szCs w:val="32"/>
        </w:rPr>
        <w:t>⑵</w:t>
      </w:r>
      <w:r>
        <w:rPr>
          <w:rFonts w:ascii="仿宋_GB2312" w:hAnsi="宋体" w:eastAsia="仿宋_GB2312"/>
          <w:color w:val="000000"/>
          <w:sz w:val="32"/>
          <w:szCs w:val="32"/>
        </w:rPr>
        <w:fldChar w:fldCharType="end"/>
      </w:r>
      <w:r>
        <w:rPr>
          <w:rFonts w:hint="eastAsia" w:ascii="仿宋_GB2312" w:hAnsi="宋体" w:eastAsia="仿宋_GB2312"/>
          <w:color w:val="000000"/>
          <w:sz w:val="32"/>
          <w:szCs w:val="32"/>
        </w:rPr>
        <w:t>商品和服务支出15051.78万元，较上年度增加2782.02万元，增幅22.70%。主要原因：一是创强、一流高职项目建设需要以及省培、国培、社会培训项目和科研项目增加，相对应的商品服务支出各明细项目同步增加：本年专用材料费、水电费等项目增幅较大，主要是学校上年大部分实验实训设备设施建设基本完成，本年陆续投入使用，教室实训室逐步加装空调，教学实训条件全面提升相应增加开支；本年学校承办全国化工技能大赛等多项国家、省级技能大赛，赛事培训、准备等也客观上增加了学校投入。培训费增幅较大，主要是今年按培训费核算要求把对外培训纳入本科目核算范围，相对往年核算口径变化所致；劳务费增加的主要原因是学校实施“兼职教师建设工程”，完善兼职教师管理体系，建立相对稳定的兼职教师团队所致。二是我校南海校区已建成使用14年，目前多数建筑、设备进入维修高峰期，为保证校园安全，18年安排更多资金用于房屋设备维护支出，致房屋设备维护费较上年增长31.7%。</w:t>
      </w:r>
    </w:p>
    <w:p>
      <w:pPr>
        <w:ind w:firstLine="640" w:firstLineChars="200"/>
        <w:rPr>
          <w:rFonts w:ascii="仿宋_GB2312" w:hAnsi="宋体" w:eastAsia="仿宋_GB2312"/>
          <w:color w:val="000000"/>
          <w:sz w:val="32"/>
          <w:szCs w:val="32"/>
        </w:rPr>
      </w:pPr>
      <w:r>
        <w:rPr>
          <w:rFonts w:ascii="仿宋_GB2312" w:hAnsi="宋体" w:eastAsia="仿宋_GB2312"/>
          <w:color w:val="000000"/>
          <w:sz w:val="32"/>
          <w:szCs w:val="32"/>
        </w:rPr>
        <w:fldChar w:fldCharType="begin"/>
      </w:r>
      <w:r>
        <w:rPr>
          <w:rFonts w:ascii="仿宋_GB2312" w:hAnsi="宋体" w:eastAsia="仿宋_GB2312"/>
          <w:color w:val="000000"/>
          <w:sz w:val="32"/>
          <w:szCs w:val="32"/>
        </w:rPr>
        <w:instrText xml:space="preserve"> </w:instrText>
      </w:r>
      <w:r>
        <w:rPr>
          <w:rFonts w:hint="eastAsia" w:ascii="仿宋_GB2312" w:hAnsi="宋体" w:eastAsia="仿宋_GB2312"/>
          <w:color w:val="000000"/>
          <w:sz w:val="32"/>
          <w:szCs w:val="32"/>
        </w:rPr>
        <w:instrText xml:space="preserve">= 3 \* GB2</w:instrText>
      </w:r>
      <w:r>
        <w:rPr>
          <w:rFonts w:ascii="仿宋_GB2312" w:hAnsi="宋体" w:eastAsia="仿宋_GB2312"/>
          <w:color w:val="000000"/>
          <w:sz w:val="32"/>
          <w:szCs w:val="32"/>
        </w:rPr>
        <w:instrText xml:space="preserve"> </w:instrText>
      </w:r>
      <w:r>
        <w:rPr>
          <w:rFonts w:ascii="仿宋_GB2312" w:hAnsi="宋体" w:eastAsia="仿宋_GB2312"/>
          <w:color w:val="000000"/>
          <w:sz w:val="32"/>
          <w:szCs w:val="32"/>
        </w:rPr>
        <w:fldChar w:fldCharType="separate"/>
      </w:r>
      <w:r>
        <w:rPr>
          <w:rFonts w:hint="eastAsia" w:ascii="仿宋_GB2312" w:hAnsi="宋体" w:eastAsia="仿宋_GB2312"/>
          <w:color w:val="000000"/>
          <w:sz w:val="32"/>
          <w:szCs w:val="32"/>
        </w:rPr>
        <w:t>⑶</w:t>
      </w:r>
      <w:r>
        <w:rPr>
          <w:rFonts w:ascii="仿宋_GB2312" w:hAnsi="宋体" w:eastAsia="仿宋_GB2312"/>
          <w:color w:val="000000"/>
          <w:sz w:val="32"/>
          <w:szCs w:val="32"/>
        </w:rPr>
        <w:fldChar w:fldCharType="end"/>
      </w:r>
      <w:r>
        <w:rPr>
          <w:rFonts w:hint="eastAsia" w:ascii="仿宋_GB2312" w:hAnsi="宋体" w:eastAsia="仿宋_GB2312"/>
          <w:color w:val="000000"/>
          <w:sz w:val="32"/>
          <w:szCs w:val="32"/>
        </w:rPr>
        <w:t>其他资本性资产7446.92万元，较上年度降低3294.03万元，降幅30.70%。主要原因是上年南海学生公寓5-8栋、厂房式实训基地建设、禾粤人才公寓等基建进度款基本支付完成，本年仅支付艺术学院创新实训基地等项目建设款467万元，基建支出比上年同期减少4050万元，而设备家具购置较上年增加756万元综合影响所致。</w:t>
      </w:r>
    </w:p>
    <w:p>
      <w:pPr>
        <w:ind w:firstLine="640" w:firstLineChars="200"/>
        <w:rPr>
          <w:rFonts w:ascii="仿宋_GB2312" w:eastAsia="仿宋_GB2312"/>
          <w:sz w:val="32"/>
          <w:szCs w:val="32"/>
        </w:rPr>
      </w:pPr>
      <w:r>
        <w:rPr>
          <w:rFonts w:hint="eastAsia" w:ascii="仿宋_GB2312" w:hAnsi="宋体" w:eastAsia="仿宋_GB2312"/>
          <w:color w:val="000000"/>
          <w:sz w:val="32"/>
          <w:szCs w:val="32"/>
        </w:rPr>
        <w:t>（4）对家庭及个人补助支出6507.94万元，较上年度降低4939.12万元，降幅43.10%，剔除住房公积金住房改革性补贴及医疗费共计5484万元由该科目归入工资福利支出科目核算后，该科目支出比上年同口径相比增加544万元，主要为对学生奖助学贷及建档立卡财政补助支出增加。</w:t>
      </w:r>
    </w:p>
    <w:p>
      <w:pPr>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（三）财政拨款年初预算支出与决算支出对比分析</w:t>
      </w:r>
    </w:p>
    <w:p>
      <w:pPr>
        <w:rPr>
          <w:rFonts w:ascii="仿宋_GB2312" w:hAnsi="宋体" w:eastAsia="仿宋_GB2312"/>
          <w:color w:val="000000"/>
          <w:sz w:val="32"/>
          <w:szCs w:val="32"/>
          <w:highlight w:val="yellow"/>
        </w:rPr>
      </w:pPr>
      <w:r>
        <w:rPr>
          <w:rFonts w:hint="eastAsia" w:ascii="仿宋_GB2312" w:hAnsi="宋体" w:eastAsia="仿宋_GB2312"/>
          <w:color w:val="000000"/>
          <w:sz w:val="32"/>
          <w:szCs w:val="32"/>
        </w:rPr>
        <w:t xml:space="preserve">    财政拨款年初预算支出26860.66万元，年终决算支出36393.71万元，比年初预算增加9533.05万元。</w:t>
      </w:r>
    </w:p>
    <w:p>
      <w:pPr>
        <w:ind w:firstLine="643" w:firstLineChars="200"/>
        <w:rPr>
          <w:rFonts w:ascii="仿宋_GB2312" w:hAnsi="宋体" w:eastAsia="仿宋_GB2312"/>
          <w:color w:val="000000"/>
          <w:sz w:val="32"/>
          <w:szCs w:val="32"/>
        </w:rPr>
      </w:pPr>
      <w:r>
        <w:rPr>
          <w:rFonts w:hint="eastAsia" w:ascii="仿宋_GB2312" w:hAnsi="宋体" w:eastAsia="仿宋_GB2312"/>
          <w:b/>
          <w:bCs/>
          <w:color w:val="000000"/>
          <w:sz w:val="32"/>
          <w:szCs w:val="32"/>
        </w:rPr>
        <w:t>三、2018年一般预算财政拨款“三公“经费支出说明</w:t>
      </w:r>
    </w:p>
    <w:tbl>
      <w:tblPr>
        <w:tblStyle w:val="5"/>
        <w:tblW w:w="8572" w:type="dxa"/>
        <w:tblInd w:w="0" w:type="dxa"/>
        <w:tblLayout w:type="fixed"/>
        <w:tblCellMar>
          <w:top w:w="0" w:type="dxa"/>
          <w:left w:w="108" w:type="dxa"/>
          <w:bottom w:w="0" w:type="dxa"/>
          <w:right w:w="108" w:type="dxa"/>
        </w:tblCellMar>
      </w:tblPr>
      <w:tblGrid>
        <w:gridCol w:w="3544"/>
        <w:gridCol w:w="992"/>
        <w:gridCol w:w="993"/>
        <w:gridCol w:w="876"/>
        <w:gridCol w:w="1134"/>
        <w:gridCol w:w="1033"/>
      </w:tblGrid>
      <w:tr>
        <w:tblPrEx>
          <w:tblCellMar>
            <w:top w:w="0" w:type="dxa"/>
            <w:left w:w="108" w:type="dxa"/>
            <w:bottom w:w="0" w:type="dxa"/>
            <w:right w:w="108" w:type="dxa"/>
          </w:tblCellMar>
        </w:tblPrEx>
        <w:trPr>
          <w:trHeight w:val="510" w:hRule="atLeast"/>
        </w:trPr>
        <w:tc>
          <w:tcPr>
            <w:tcW w:w="8572" w:type="dxa"/>
            <w:gridSpan w:val="6"/>
            <w:tcBorders>
              <w:top w:val="nil"/>
              <w:left w:val="nil"/>
              <w:bottom w:val="nil"/>
              <w:right w:val="nil"/>
            </w:tcBorders>
            <w:shd w:val="clear" w:color="auto" w:fill="auto"/>
            <w:noWrap/>
            <w:vAlign w:val="bottom"/>
          </w:tcPr>
          <w:p>
            <w:pPr>
              <w:ind w:firstLine="560" w:firstLineChars="200"/>
              <w:jc w:val="center"/>
              <w:rPr>
                <w:rFonts w:ascii="Arial" w:hAnsi="Arial" w:cs="Arial"/>
                <w:color w:val="000000"/>
                <w:kern w:val="0"/>
                <w:sz w:val="28"/>
                <w:szCs w:val="28"/>
              </w:rPr>
            </w:pPr>
            <w:r>
              <w:rPr>
                <w:rFonts w:hint="eastAsia" w:ascii="仿宋_GB2312" w:hAnsi="宋体" w:eastAsia="仿宋_GB2312"/>
                <w:color w:val="000000"/>
                <w:sz w:val="28"/>
                <w:szCs w:val="28"/>
              </w:rPr>
              <w:t>2018年财政一般预算拨款“三公”经费支出对比表</w:t>
            </w:r>
          </w:p>
        </w:tc>
      </w:tr>
      <w:tr>
        <w:tblPrEx>
          <w:tblCellMar>
            <w:top w:w="0" w:type="dxa"/>
            <w:left w:w="108" w:type="dxa"/>
            <w:bottom w:w="0" w:type="dxa"/>
            <w:right w:w="108" w:type="dxa"/>
          </w:tblCellMar>
        </w:tblPrEx>
        <w:trPr>
          <w:trHeight w:val="270" w:hRule="atLeast"/>
        </w:trPr>
        <w:tc>
          <w:tcPr>
            <w:tcW w:w="3544" w:type="dxa"/>
            <w:tcBorders>
              <w:top w:val="nil"/>
              <w:left w:val="nil"/>
              <w:bottom w:val="single" w:color="auto" w:sz="4" w:space="0"/>
              <w:right w:val="nil"/>
            </w:tcBorders>
            <w:shd w:val="clear" w:color="auto" w:fill="auto"/>
            <w:noWrap/>
            <w:vAlign w:val="bottom"/>
          </w:tcPr>
          <w:p>
            <w:pPr>
              <w:widowControl/>
              <w:jc w:val="center"/>
              <w:rPr>
                <w:rFonts w:ascii="Arial" w:hAnsi="Arial" w:cs="Arial"/>
                <w:color w:val="000000"/>
                <w:kern w:val="0"/>
                <w:sz w:val="24"/>
              </w:rPr>
            </w:pPr>
          </w:p>
        </w:tc>
        <w:tc>
          <w:tcPr>
            <w:tcW w:w="992" w:type="dxa"/>
            <w:tcBorders>
              <w:top w:val="nil"/>
              <w:left w:val="nil"/>
              <w:bottom w:val="single" w:color="auto" w:sz="4" w:space="0"/>
              <w:right w:val="nil"/>
            </w:tcBorders>
            <w:shd w:val="clear" w:color="auto" w:fill="auto"/>
            <w:noWrap/>
            <w:vAlign w:val="bottom"/>
          </w:tcPr>
          <w:p>
            <w:pPr>
              <w:widowControl/>
              <w:jc w:val="center"/>
              <w:rPr>
                <w:rFonts w:ascii="Arial" w:hAnsi="Arial" w:cs="Arial"/>
                <w:color w:val="000000"/>
                <w:kern w:val="0"/>
                <w:sz w:val="24"/>
              </w:rPr>
            </w:pPr>
          </w:p>
        </w:tc>
        <w:tc>
          <w:tcPr>
            <w:tcW w:w="993" w:type="dxa"/>
            <w:tcBorders>
              <w:top w:val="nil"/>
              <w:left w:val="nil"/>
              <w:bottom w:val="single" w:color="auto" w:sz="4" w:space="0"/>
              <w:right w:val="nil"/>
            </w:tcBorders>
            <w:shd w:val="clear" w:color="auto" w:fill="auto"/>
            <w:noWrap/>
            <w:vAlign w:val="bottom"/>
          </w:tcPr>
          <w:p>
            <w:pPr>
              <w:widowControl/>
              <w:jc w:val="center"/>
              <w:rPr>
                <w:rFonts w:ascii="Arial" w:hAnsi="Arial" w:cs="Arial"/>
                <w:color w:val="000000"/>
                <w:kern w:val="0"/>
                <w:sz w:val="24"/>
              </w:rPr>
            </w:pPr>
          </w:p>
        </w:tc>
        <w:tc>
          <w:tcPr>
            <w:tcW w:w="876" w:type="dxa"/>
            <w:tcBorders>
              <w:top w:val="nil"/>
              <w:left w:val="nil"/>
              <w:bottom w:val="single" w:color="auto" w:sz="4" w:space="0"/>
              <w:right w:val="nil"/>
            </w:tcBorders>
            <w:shd w:val="clear" w:color="auto" w:fill="auto"/>
            <w:noWrap/>
            <w:vAlign w:val="bottom"/>
          </w:tcPr>
          <w:p>
            <w:pPr>
              <w:widowControl/>
              <w:jc w:val="center"/>
              <w:rPr>
                <w:rFonts w:ascii="Arial" w:hAnsi="Arial" w:cs="Arial"/>
                <w:color w:val="000000"/>
                <w:kern w:val="0"/>
                <w:sz w:val="24"/>
              </w:rPr>
            </w:pPr>
          </w:p>
        </w:tc>
        <w:tc>
          <w:tcPr>
            <w:tcW w:w="1134" w:type="dxa"/>
            <w:tcBorders>
              <w:top w:val="nil"/>
              <w:left w:val="nil"/>
              <w:bottom w:val="single" w:color="auto" w:sz="4" w:space="0"/>
              <w:right w:val="nil"/>
            </w:tcBorders>
            <w:shd w:val="clear" w:color="auto" w:fill="auto"/>
            <w:noWrap/>
            <w:vAlign w:val="bottom"/>
          </w:tcPr>
          <w:p>
            <w:pPr>
              <w:widowControl/>
              <w:jc w:val="center"/>
              <w:rPr>
                <w:rFonts w:ascii="Arial" w:hAnsi="Arial" w:cs="Arial"/>
                <w:color w:val="000000"/>
                <w:kern w:val="0"/>
                <w:sz w:val="24"/>
              </w:rPr>
            </w:pPr>
          </w:p>
        </w:tc>
        <w:tc>
          <w:tcPr>
            <w:tcW w:w="1033" w:type="dxa"/>
            <w:tcBorders>
              <w:top w:val="nil"/>
              <w:left w:val="nil"/>
              <w:bottom w:val="single" w:color="auto" w:sz="4" w:space="0"/>
              <w:right w:val="nil"/>
            </w:tcBorders>
            <w:shd w:val="clear" w:color="auto" w:fill="auto"/>
            <w:noWrap/>
            <w:vAlign w:val="bottom"/>
          </w:tcPr>
          <w:p>
            <w:pPr>
              <w:widowControl/>
              <w:rPr>
                <w:rFonts w:ascii="宋体" w:hAnsi="宋体" w:cs="Arial"/>
                <w:color w:val="000000"/>
                <w:kern w:val="0"/>
                <w:sz w:val="18"/>
                <w:szCs w:val="18"/>
              </w:rPr>
            </w:pPr>
            <w:r>
              <w:rPr>
                <w:rFonts w:hint="eastAsia" w:ascii="宋体" w:hAnsi="宋体" w:cs="Arial"/>
                <w:color w:val="000000"/>
                <w:kern w:val="0"/>
                <w:sz w:val="18"/>
                <w:szCs w:val="18"/>
              </w:rPr>
              <w:t>单位：万元</w:t>
            </w:r>
          </w:p>
        </w:tc>
      </w:tr>
      <w:tr>
        <w:tblPrEx>
          <w:tblCellMar>
            <w:top w:w="0" w:type="dxa"/>
            <w:left w:w="108" w:type="dxa"/>
            <w:bottom w:w="0" w:type="dxa"/>
            <w:right w:w="108" w:type="dxa"/>
          </w:tblCellMar>
        </w:tblPrEx>
        <w:trPr>
          <w:trHeight w:val="705" w:hRule="atLeast"/>
        </w:trPr>
        <w:tc>
          <w:tcPr>
            <w:tcW w:w="35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            目</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上年支出数</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年初预算数</w:t>
            </w: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本年支出数</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与预算对比增/减</w:t>
            </w:r>
          </w:p>
        </w:tc>
        <w:tc>
          <w:tcPr>
            <w:tcW w:w="10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与上年对比增/减</w:t>
            </w:r>
          </w:p>
        </w:tc>
      </w:tr>
      <w:tr>
        <w:tblPrEx>
          <w:tblCellMar>
            <w:top w:w="0" w:type="dxa"/>
            <w:left w:w="108" w:type="dxa"/>
            <w:bottom w:w="0" w:type="dxa"/>
            <w:right w:w="108" w:type="dxa"/>
          </w:tblCellMar>
        </w:tblPrEx>
        <w:trPr>
          <w:trHeight w:val="308" w:hRule="atLeast"/>
        </w:trPr>
        <w:tc>
          <w:tcPr>
            <w:tcW w:w="354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（一）支出合计</w:t>
            </w:r>
          </w:p>
        </w:tc>
        <w:tc>
          <w:tcPr>
            <w:tcW w:w="99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225.35</w:t>
            </w:r>
          </w:p>
        </w:tc>
        <w:tc>
          <w:tcPr>
            <w:tcW w:w="99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80.00</w:t>
            </w:r>
          </w:p>
        </w:tc>
        <w:tc>
          <w:tcPr>
            <w:tcW w:w="87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114.19</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34.19</w:t>
            </w:r>
          </w:p>
        </w:tc>
        <w:tc>
          <w:tcPr>
            <w:tcW w:w="10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-111.16</w:t>
            </w:r>
          </w:p>
        </w:tc>
      </w:tr>
      <w:tr>
        <w:tblPrEx>
          <w:tblCellMar>
            <w:top w:w="0" w:type="dxa"/>
            <w:left w:w="108" w:type="dxa"/>
            <w:bottom w:w="0" w:type="dxa"/>
            <w:right w:w="108" w:type="dxa"/>
          </w:tblCellMar>
        </w:tblPrEx>
        <w:trPr>
          <w:trHeight w:val="308" w:hRule="atLeast"/>
        </w:trPr>
        <w:tc>
          <w:tcPr>
            <w:tcW w:w="354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1．因公出国（境）费</w:t>
            </w:r>
          </w:p>
        </w:tc>
        <w:tc>
          <w:tcPr>
            <w:tcW w:w="99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195.04</w:t>
            </w:r>
          </w:p>
        </w:tc>
        <w:tc>
          <w:tcPr>
            <w:tcW w:w="99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15.00</w:t>
            </w:r>
          </w:p>
        </w:tc>
        <w:tc>
          <w:tcPr>
            <w:tcW w:w="87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49.19</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34.19</w:t>
            </w:r>
          </w:p>
        </w:tc>
        <w:tc>
          <w:tcPr>
            <w:tcW w:w="10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-145.85</w:t>
            </w:r>
          </w:p>
        </w:tc>
      </w:tr>
      <w:tr>
        <w:tblPrEx>
          <w:tblCellMar>
            <w:top w:w="0" w:type="dxa"/>
            <w:left w:w="108" w:type="dxa"/>
            <w:bottom w:w="0" w:type="dxa"/>
            <w:right w:w="108" w:type="dxa"/>
          </w:tblCellMar>
        </w:tblPrEx>
        <w:trPr>
          <w:trHeight w:val="308" w:hRule="atLeast"/>
        </w:trPr>
        <w:tc>
          <w:tcPr>
            <w:tcW w:w="354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2．公务用车购置及运行维护费</w:t>
            </w:r>
          </w:p>
        </w:tc>
        <w:tc>
          <w:tcPr>
            <w:tcW w:w="99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17.24</w:t>
            </w:r>
          </w:p>
        </w:tc>
        <w:tc>
          <w:tcPr>
            <w:tcW w:w="99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50.00</w:t>
            </w:r>
          </w:p>
        </w:tc>
        <w:tc>
          <w:tcPr>
            <w:tcW w:w="87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50</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Calibri" w:hAnsi="Calibri" w:cs="宋体"/>
                <w:color w:val="000000"/>
                <w:szCs w:val="21"/>
              </w:rPr>
            </w:pPr>
            <w:r>
              <w:rPr>
                <w:rFonts w:hint="eastAsia" w:ascii="Calibri" w:hAnsi="Calibri"/>
                <w:color w:val="000000"/>
                <w:szCs w:val="21"/>
              </w:rPr>
              <w:t>0</w:t>
            </w:r>
          </w:p>
        </w:tc>
        <w:tc>
          <w:tcPr>
            <w:tcW w:w="10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32.76</w:t>
            </w:r>
          </w:p>
        </w:tc>
      </w:tr>
      <w:tr>
        <w:tblPrEx>
          <w:tblCellMar>
            <w:top w:w="0" w:type="dxa"/>
            <w:left w:w="108" w:type="dxa"/>
            <w:bottom w:w="0" w:type="dxa"/>
            <w:right w:w="108" w:type="dxa"/>
          </w:tblCellMar>
        </w:tblPrEx>
        <w:trPr>
          <w:trHeight w:val="308" w:hRule="atLeast"/>
        </w:trPr>
        <w:tc>
          <w:tcPr>
            <w:tcW w:w="354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（1）公务用车购置费</w:t>
            </w:r>
          </w:p>
        </w:tc>
        <w:tc>
          <w:tcPr>
            <w:tcW w:w="99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w:t>
            </w:r>
          </w:p>
        </w:tc>
        <w:tc>
          <w:tcPr>
            <w:tcW w:w="99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w:t>
            </w:r>
          </w:p>
        </w:tc>
        <w:tc>
          <w:tcPr>
            <w:tcW w:w="87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Calibri" w:hAnsi="Calibri" w:cs="宋体"/>
                <w:color w:val="000000"/>
                <w:szCs w:val="21"/>
              </w:rPr>
            </w:pPr>
            <w:r>
              <w:rPr>
                <w:rFonts w:ascii="Calibri" w:hAnsi="Calibri"/>
                <w:color w:val="000000"/>
                <w:szCs w:val="21"/>
              </w:rPr>
              <w:t>0</w:t>
            </w:r>
          </w:p>
        </w:tc>
        <w:tc>
          <w:tcPr>
            <w:tcW w:w="10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0</w:t>
            </w:r>
          </w:p>
        </w:tc>
      </w:tr>
      <w:tr>
        <w:tblPrEx>
          <w:tblCellMar>
            <w:top w:w="0" w:type="dxa"/>
            <w:left w:w="108" w:type="dxa"/>
            <w:bottom w:w="0" w:type="dxa"/>
            <w:right w:w="108" w:type="dxa"/>
          </w:tblCellMar>
        </w:tblPrEx>
        <w:trPr>
          <w:trHeight w:val="308" w:hRule="atLeast"/>
        </w:trPr>
        <w:tc>
          <w:tcPr>
            <w:tcW w:w="354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（2）公务用车运行维护费</w:t>
            </w:r>
          </w:p>
        </w:tc>
        <w:tc>
          <w:tcPr>
            <w:tcW w:w="99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17.24</w:t>
            </w:r>
          </w:p>
        </w:tc>
        <w:tc>
          <w:tcPr>
            <w:tcW w:w="99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50.00</w:t>
            </w:r>
          </w:p>
        </w:tc>
        <w:tc>
          <w:tcPr>
            <w:tcW w:w="87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50</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Calibri" w:hAnsi="Calibri" w:cs="宋体"/>
                <w:color w:val="000000"/>
                <w:szCs w:val="21"/>
              </w:rPr>
            </w:pPr>
            <w:r>
              <w:rPr>
                <w:rFonts w:hint="eastAsia" w:ascii="Calibri" w:hAnsi="Calibri"/>
                <w:color w:val="000000"/>
                <w:szCs w:val="21"/>
              </w:rPr>
              <w:t>0</w:t>
            </w:r>
          </w:p>
        </w:tc>
        <w:tc>
          <w:tcPr>
            <w:tcW w:w="10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32.76</w:t>
            </w:r>
          </w:p>
        </w:tc>
      </w:tr>
      <w:tr>
        <w:tblPrEx>
          <w:tblCellMar>
            <w:top w:w="0" w:type="dxa"/>
            <w:left w:w="108" w:type="dxa"/>
            <w:bottom w:w="0" w:type="dxa"/>
            <w:right w:w="108" w:type="dxa"/>
          </w:tblCellMar>
        </w:tblPrEx>
        <w:trPr>
          <w:trHeight w:val="308" w:hRule="atLeast"/>
        </w:trPr>
        <w:tc>
          <w:tcPr>
            <w:tcW w:w="354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3．公务接待费</w:t>
            </w:r>
          </w:p>
        </w:tc>
        <w:tc>
          <w:tcPr>
            <w:tcW w:w="99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13.07</w:t>
            </w:r>
          </w:p>
        </w:tc>
        <w:tc>
          <w:tcPr>
            <w:tcW w:w="99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15.00</w:t>
            </w:r>
          </w:p>
        </w:tc>
        <w:tc>
          <w:tcPr>
            <w:tcW w:w="87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15</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Calibri" w:hAnsi="Calibri" w:cs="宋体"/>
                <w:color w:val="000000"/>
                <w:szCs w:val="21"/>
              </w:rPr>
            </w:pPr>
            <w:r>
              <w:rPr>
                <w:rFonts w:hint="eastAsia" w:ascii="Calibri" w:hAnsi="Calibri"/>
                <w:color w:val="000000"/>
                <w:szCs w:val="21"/>
              </w:rPr>
              <w:t>0</w:t>
            </w:r>
          </w:p>
        </w:tc>
        <w:tc>
          <w:tcPr>
            <w:tcW w:w="10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1.93</w:t>
            </w:r>
          </w:p>
        </w:tc>
      </w:tr>
      <w:tr>
        <w:tblPrEx>
          <w:tblCellMar>
            <w:top w:w="0" w:type="dxa"/>
            <w:left w:w="108" w:type="dxa"/>
            <w:bottom w:w="0" w:type="dxa"/>
            <w:right w:w="108" w:type="dxa"/>
          </w:tblCellMar>
        </w:tblPrEx>
        <w:trPr>
          <w:trHeight w:val="308" w:hRule="atLeast"/>
        </w:trPr>
        <w:tc>
          <w:tcPr>
            <w:tcW w:w="354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（1）国内接待费</w:t>
            </w:r>
          </w:p>
        </w:tc>
        <w:tc>
          <w:tcPr>
            <w:tcW w:w="99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13.07</w:t>
            </w:r>
          </w:p>
        </w:tc>
        <w:tc>
          <w:tcPr>
            <w:tcW w:w="99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15.00</w:t>
            </w:r>
          </w:p>
        </w:tc>
        <w:tc>
          <w:tcPr>
            <w:tcW w:w="87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15</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Calibri" w:hAnsi="Calibri" w:cs="宋体"/>
                <w:color w:val="000000"/>
                <w:szCs w:val="21"/>
              </w:rPr>
            </w:pPr>
            <w:r>
              <w:rPr>
                <w:rFonts w:hint="eastAsia" w:ascii="Calibri" w:hAnsi="Calibri"/>
                <w:color w:val="000000"/>
                <w:szCs w:val="21"/>
              </w:rPr>
              <w:t>0</w:t>
            </w:r>
          </w:p>
        </w:tc>
        <w:tc>
          <w:tcPr>
            <w:tcW w:w="10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1.93</w:t>
            </w:r>
          </w:p>
        </w:tc>
      </w:tr>
    </w:tbl>
    <w:p>
      <w:pPr>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从</w:t>
      </w:r>
      <w:r>
        <w:rPr>
          <w:rFonts w:ascii="仿宋_GB2312" w:hAnsi="宋体" w:eastAsia="仿宋_GB2312"/>
          <w:color w:val="000000"/>
          <w:sz w:val="32"/>
          <w:szCs w:val="32"/>
        </w:rPr>
        <w:t>上表可看出我校</w:t>
      </w:r>
      <w:r>
        <w:rPr>
          <w:rFonts w:hint="eastAsia" w:ascii="仿宋_GB2312" w:hAnsi="宋体" w:eastAsia="仿宋_GB2312"/>
          <w:color w:val="000000"/>
          <w:sz w:val="32"/>
          <w:szCs w:val="32"/>
        </w:rPr>
        <w:t>财</w:t>
      </w:r>
      <w:r>
        <w:rPr>
          <w:rFonts w:ascii="仿宋_GB2312" w:hAnsi="宋体" w:eastAsia="仿宋_GB2312"/>
          <w:color w:val="000000"/>
          <w:sz w:val="32"/>
          <w:szCs w:val="32"/>
        </w:rPr>
        <w:t>政</w:t>
      </w:r>
      <w:r>
        <w:rPr>
          <w:rFonts w:hint="eastAsia" w:ascii="仿宋_GB2312" w:hAnsi="宋体" w:eastAsia="仿宋_GB2312"/>
          <w:color w:val="000000"/>
          <w:sz w:val="32"/>
          <w:szCs w:val="32"/>
        </w:rPr>
        <w:t>一般</w:t>
      </w:r>
      <w:r>
        <w:rPr>
          <w:rFonts w:ascii="仿宋_GB2312" w:hAnsi="宋体" w:eastAsia="仿宋_GB2312"/>
          <w:color w:val="000000"/>
          <w:sz w:val="32"/>
          <w:szCs w:val="32"/>
        </w:rPr>
        <w:t>预算</w:t>
      </w:r>
      <w:r>
        <w:rPr>
          <w:rFonts w:hint="eastAsia" w:ascii="仿宋_GB2312" w:hAnsi="宋体" w:eastAsia="仿宋_GB2312"/>
          <w:color w:val="000000"/>
          <w:sz w:val="32"/>
          <w:szCs w:val="32"/>
        </w:rPr>
        <w:t>拨</w:t>
      </w:r>
      <w:r>
        <w:rPr>
          <w:rFonts w:ascii="仿宋_GB2312" w:hAnsi="宋体" w:eastAsia="仿宋_GB2312"/>
          <w:color w:val="000000"/>
          <w:sz w:val="32"/>
          <w:szCs w:val="32"/>
        </w:rPr>
        <w:t>款“三公”经费支出较</w:t>
      </w:r>
      <w:r>
        <w:rPr>
          <w:rFonts w:hint="eastAsia" w:ascii="仿宋_GB2312" w:hAnsi="宋体" w:eastAsia="仿宋_GB2312"/>
          <w:color w:val="000000"/>
          <w:sz w:val="32"/>
          <w:szCs w:val="32"/>
        </w:rPr>
        <w:t>年</w:t>
      </w:r>
      <w:r>
        <w:rPr>
          <w:rFonts w:ascii="仿宋_GB2312" w:hAnsi="宋体" w:eastAsia="仿宋_GB2312"/>
          <w:color w:val="000000"/>
          <w:sz w:val="32"/>
          <w:szCs w:val="32"/>
        </w:rPr>
        <w:t>初预</w:t>
      </w:r>
      <w:r>
        <w:rPr>
          <w:rFonts w:hint="eastAsia" w:ascii="仿宋_GB2312" w:hAnsi="宋体" w:eastAsia="仿宋_GB2312"/>
          <w:color w:val="000000"/>
          <w:sz w:val="32"/>
          <w:szCs w:val="32"/>
        </w:rPr>
        <w:t>算增加34.19万</w:t>
      </w:r>
      <w:r>
        <w:rPr>
          <w:rFonts w:ascii="仿宋_GB2312" w:hAnsi="宋体" w:eastAsia="仿宋_GB2312"/>
          <w:color w:val="000000"/>
          <w:sz w:val="32"/>
          <w:szCs w:val="32"/>
        </w:rPr>
        <w:t>元，</w:t>
      </w:r>
      <w:r>
        <w:rPr>
          <w:rFonts w:hint="eastAsia" w:ascii="仿宋_GB2312" w:hAnsi="宋体" w:eastAsia="仿宋_GB2312"/>
          <w:color w:val="000000"/>
          <w:sz w:val="32"/>
          <w:szCs w:val="32"/>
        </w:rPr>
        <w:t>较上年减少111.16万元。具体如下：</w:t>
      </w:r>
    </w:p>
    <w:p>
      <w:pPr>
        <w:ind w:firstLine="640"/>
        <w:rPr>
          <w:rFonts w:ascii="仿宋_GB2312" w:hAnsi="宋体" w:eastAsia="仿宋_GB2312"/>
          <w:color w:val="000000"/>
          <w:sz w:val="32"/>
          <w:szCs w:val="32"/>
        </w:rPr>
      </w:pPr>
      <w:r>
        <w:rPr>
          <w:rFonts w:hint="eastAsia" w:ascii="仿宋_GB2312" w:hAnsi="宋体" w:eastAsia="仿宋_GB2312"/>
          <w:color w:val="000000"/>
          <w:sz w:val="32"/>
          <w:szCs w:val="32"/>
        </w:rPr>
        <w:t>1、</w:t>
      </w:r>
      <w:r>
        <w:rPr>
          <w:rFonts w:hint="eastAsia" w:ascii="仿宋_GB2312" w:hAnsi="宋体" w:eastAsia="仿宋_GB2312"/>
          <w:color w:val="000000"/>
          <w:sz w:val="32"/>
          <w:szCs w:val="32"/>
          <w:lang w:val="en-US" w:eastAsia="zh-CN"/>
        </w:rPr>
        <w:t>因公出国（境）组团7个，人次共38人，费用支出</w:t>
      </w:r>
      <w:r>
        <w:rPr>
          <w:rFonts w:hint="eastAsia" w:ascii="仿宋_GB2312" w:hAnsi="宋体" w:eastAsia="仿宋_GB2312"/>
          <w:color w:val="000000"/>
          <w:sz w:val="32"/>
          <w:szCs w:val="32"/>
        </w:rPr>
        <w:t>较年初预算增加34.19万元</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lang w:val="en-US" w:eastAsia="zh-CN"/>
        </w:rPr>
        <w:t>增加部分为“创新强校”项目资金对应支出）</w:t>
      </w:r>
      <w:r>
        <w:rPr>
          <w:rFonts w:hint="eastAsia" w:ascii="仿宋_GB2312" w:hAnsi="宋体" w:eastAsia="仿宋_GB2312"/>
          <w:color w:val="000000"/>
          <w:sz w:val="32"/>
          <w:szCs w:val="32"/>
        </w:rPr>
        <w:t>，较上年减少145.85万元。</w:t>
      </w:r>
    </w:p>
    <w:p>
      <w:pPr>
        <w:ind w:firstLine="640"/>
        <w:rPr>
          <w:rFonts w:ascii="仿宋_GB2312" w:hAnsi="宋体" w:eastAsia="仿宋_GB2312"/>
          <w:color w:val="000000"/>
          <w:sz w:val="32"/>
          <w:szCs w:val="32"/>
        </w:rPr>
      </w:pPr>
      <w:r>
        <w:rPr>
          <w:rFonts w:hint="eastAsia" w:ascii="仿宋_GB2312" w:hAnsi="宋体" w:eastAsia="仿宋_GB2312"/>
          <w:color w:val="000000"/>
          <w:sz w:val="32"/>
          <w:szCs w:val="32"/>
        </w:rPr>
        <w:t>2、公务用车购置及运行维护费较年初预算持平、较上年增加32.76万元。</w:t>
      </w:r>
    </w:p>
    <w:p>
      <w:pPr>
        <w:ind w:firstLine="640"/>
        <w:rPr>
          <w:rFonts w:ascii="仿宋_GB2312" w:hAnsi="宋体" w:eastAsia="仿宋_GB2312"/>
          <w:color w:val="000000"/>
          <w:sz w:val="32"/>
          <w:szCs w:val="32"/>
        </w:rPr>
      </w:pPr>
      <w:r>
        <w:rPr>
          <w:rFonts w:hint="eastAsia" w:ascii="仿宋_GB2312" w:hAnsi="宋体" w:eastAsia="仿宋_GB2312"/>
          <w:color w:val="000000"/>
          <w:sz w:val="32"/>
          <w:szCs w:val="32"/>
        </w:rPr>
        <w:t>3、公务接待费</w:t>
      </w:r>
      <w:r>
        <w:rPr>
          <w:rFonts w:hint="eastAsia" w:ascii="仿宋_GB2312" w:hAnsi="宋体" w:eastAsia="仿宋_GB2312"/>
          <w:color w:val="000000"/>
          <w:sz w:val="32"/>
          <w:szCs w:val="32"/>
          <w:lang w:val="en-US" w:eastAsia="zh-CN"/>
        </w:rPr>
        <w:t>支出15万元，接待人次为1025人，费用支出与</w:t>
      </w:r>
      <w:r>
        <w:rPr>
          <w:rFonts w:hint="eastAsia" w:ascii="仿宋_GB2312" w:hAnsi="宋体" w:eastAsia="仿宋_GB2312"/>
          <w:color w:val="000000"/>
          <w:sz w:val="32"/>
          <w:szCs w:val="32"/>
        </w:rPr>
        <w:t>年初预算持平，较上年增加1.93万元，其主原因是</w:t>
      </w:r>
      <w:r>
        <w:rPr>
          <w:rFonts w:hint="eastAsia" w:ascii="仿宋_GB2312" w:hAnsi="宋体" w:eastAsia="仿宋_GB2312"/>
          <w:color w:val="000000"/>
          <w:sz w:val="32"/>
          <w:szCs w:val="32"/>
          <w:lang w:val="en-US" w:eastAsia="zh-CN"/>
        </w:rPr>
        <w:t>学校思政及“四个文化”的建设取得很好的成绩，很多兄弟院校到我校交流学习，</w:t>
      </w:r>
      <w:r>
        <w:rPr>
          <w:rFonts w:hint="eastAsia" w:ascii="仿宋_GB2312" w:hAnsi="宋体" w:eastAsia="仿宋_GB2312"/>
          <w:color w:val="000000"/>
          <w:sz w:val="32"/>
          <w:szCs w:val="32"/>
        </w:rPr>
        <w:t>接待人员的批次较上年增加。</w:t>
      </w:r>
    </w:p>
    <w:p>
      <w:pPr>
        <w:ind w:firstLine="643" w:firstLineChars="200"/>
        <w:rPr>
          <w:rFonts w:ascii="仿宋_GB2312" w:hAnsi="宋体" w:eastAsia="仿宋_GB2312"/>
          <w:color w:val="000000"/>
          <w:sz w:val="32"/>
          <w:szCs w:val="32"/>
        </w:rPr>
      </w:pPr>
      <w:r>
        <w:rPr>
          <w:rFonts w:hint="eastAsia" w:ascii="仿宋_GB2312" w:hAnsi="宋体" w:eastAsia="仿宋_GB2312"/>
          <w:b/>
          <w:bCs/>
          <w:color w:val="000000"/>
          <w:sz w:val="32"/>
          <w:szCs w:val="32"/>
        </w:rPr>
        <w:t>四、政府采购支出说明</w:t>
      </w:r>
    </w:p>
    <w:p>
      <w:pPr>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2018年我校政府采购支出总额6909.99万元，其中：政府采购货物支出3922.41万元、政府采购工程支出1906.51万元、政府采购服务支出1081.06万元。</w:t>
      </w:r>
    </w:p>
    <w:p>
      <w:pPr>
        <w:ind w:firstLine="643" w:firstLineChars="200"/>
        <w:rPr>
          <w:rFonts w:ascii="仿宋_GB2312" w:hAnsi="宋体" w:eastAsia="仿宋_GB2312"/>
          <w:color w:val="000000"/>
          <w:sz w:val="32"/>
          <w:szCs w:val="32"/>
        </w:rPr>
      </w:pPr>
      <w:r>
        <w:rPr>
          <w:rFonts w:hint="eastAsia" w:ascii="仿宋_GB2312" w:hAnsi="宋体" w:eastAsia="仿宋_GB2312"/>
          <w:b/>
          <w:bCs/>
          <w:color w:val="000000"/>
          <w:sz w:val="32"/>
          <w:szCs w:val="32"/>
        </w:rPr>
        <w:t>五、国有资产占用情况说明</w:t>
      </w:r>
    </w:p>
    <w:p>
      <w:pPr>
        <w:ind w:firstLine="640" w:firstLineChars="200"/>
        <w:rPr>
          <w:rFonts w:hint="eastAsia" w:ascii="仿宋_GB2312" w:hAnsi="宋体" w:eastAsia="仿宋_GB2312"/>
          <w:sz w:val="32"/>
          <w:szCs w:val="32"/>
        </w:rPr>
      </w:pPr>
      <w:r>
        <w:rPr>
          <w:rFonts w:hint="eastAsia" w:ascii="仿宋_GB2312" w:hAnsi="宋体" w:eastAsia="仿宋_GB2312"/>
          <w:color w:val="000000"/>
          <w:sz w:val="32"/>
          <w:szCs w:val="32"/>
        </w:rPr>
        <w:t>截止2</w:t>
      </w:r>
      <w:r>
        <w:rPr>
          <w:rFonts w:ascii="仿宋_GB2312" w:hAnsi="宋体" w:eastAsia="仿宋_GB2312"/>
          <w:color w:val="000000"/>
          <w:sz w:val="32"/>
          <w:szCs w:val="32"/>
        </w:rPr>
        <w:t>01</w:t>
      </w:r>
      <w:r>
        <w:rPr>
          <w:rFonts w:hint="eastAsia" w:ascii="仿宋_GB2312" w:hAnsi="宋体" w:eastAsia="仿宋_GB2312"/>
          <w:color w:val="000000"/>
          <w:sz w:val="32"/>
          <w:szCs w:val="32"/>
        </w:rPr>
        <w:t>8年12月31日，我校共有车辆15辆，其中一般公务用车9辆、其他用车6辆，其他用车主要是两校区教职工交通</w:t>
      </w:r>
      <w:r>
        <w:rPr>
          <w:rFonts w:ascii="仿宋_GB2312" w:hAnsi="宋体" w:eastAsia="仿宋_GB2312"/>
          <w:color w:val="000000"/>
          <w:sz w:val="32"/>
          <w:szCs w:val="32"/>
        </w:rPr>
        <w:t>用</w:t>
      </w:r>
      <w:r>
        <w:rPr>
          <w:rFonts w:hint="eastAsia" w:ascii="仿宋_GB2312" w:hAnsi="宋体" w:eastAsia="仿宋_GB2312"/>
          <w:color w:val="000000"/>
          <w:sz w:val="32"/>
          <w:szCs w:val="32"/>
        </w:rPr>
        <w:t>校车；单位</w:t>
      </w:r>
      <w:r>
        <w:rPr>
          <w:rFonts w:ascii="仿宋_GB2312" w:hAnsi="宋体" w:eastAsia="仿宋_GB2312"/>
          <w:color w:val="000000"/>
          <w:sz w:val="32"/>
          <w:szCs w:val="32"/>
        </w:rPr>
        <w:t>价值</w:t>
      </w:r>
      <w:r>
        <w:rPr>
          <w:rFonts w:hint="eastAsia" w:ascii="仿宋_GB2312" w:hAnsi="宋体" w:eastAsia="仿宋_GB2312"/>
          <w:color w:val="000000"/>
          <w:sz w:val="32"/>
          <w:szCs w:val="32"/>
        </w:rPr>
        <w:t>50万</w:t>
      </w:r>
      <w:r>
        <w:rPr>
          <w:rFonts w:ascii="仿宋_GB2312" w:hAnsi="宋体" w:eastAsia="仿宋_GB2312"/>
          <w:color w:val="000000"/>
          <w:sz w:val="32"/>
          <w:szCs w:val="32"/>
        </w:rPr>
        <w:t>元以上通用设备</w:t>
      </w:r>
      <w:r>
        <w:rPr>
          <w:rFonts w:hint="eastAsia" w:ascii="仿宋_GB2312" w:hAnsi="宋体" w:eastAsia="仿宋_GB2312"/>
          <w:color w:val="000000"/>
          <w:sz w:val="32"/>
          <w:szCs w:val="32"/>
        </w:rPr>
        <w:t>17台</w:t>
      </w:r>
      <w:r>
        <w:rPr>
          <w:rFonts w:ascii="仿宋_GB2312" w:hAnsi="宋体" w:eastAsia="仿宋_GB2312"/>
          <w:color w:val="000000"/>
          <w:sz w:val="32"/>
          <w:szCs w:val="32"/>
        </w:rPr>
        <w:t>、</w:t>
      </w:r>
      <w:r>
        <w:rPr>
          <w:rFonts w:hint="eastAsia" w:ascii="仿宋_GB2312" w:hAnsi="宋体" w:eastAsia="仿宋_GB2312"/>
          <w:sz w:val="32"/>
          <w:szCs w:val="32"/>
        </w:rPr>
        <w:t>单位价值</w:t>
      </w:r>
      <w:r>
        <w:rPr>
          <w:rFonts w:ascii="仿宋_GB2312" w:hAnsi="宋体" w:eastAsia="仿宋_GB2312"/>
          <w:sz w:val="32"/>
          <w:szCs w:val="32"/>
        </w:rPr>
        <w:t>1</w:t>
      </w:r>
      <w:r>
        <w:rPr>
          <w:rFonts w:hint="eastAsia" w:ascii="仿宋_GB2312" w:hAnsi="宋体" w:eastAsia="仿宋_GB2312"/>
          <w:sz w:val="32"/>
          <w:szCs w:val="32"/>
        </w:rPr>
        <w:t>00万元大型设备2套。</w:t>
      </w:r>
      <w:bookmarkStart w:id="0" w:name="_GoBack"/>
      <w:bookmarkEnd w:id="0"/>
    </w:p>
    <w:p>
      <w:pPr>
        <w:ind w:firstLine="643" w:firstLineChars="200"/>
        <w:rPr>
          <w:rFonts w:hint="eastAsia" w:ascii="仿宋_GB2312" w:hAnsi="宋体" w:eastAsia="仿宋_GB2312"/>
          <w:sz w:val="32"/>
          <w:szCs w:val="32"/>
          <w:lang w:val="en-US" w:eastAsia="zh-CN"/>
        </w:rPr>
      </w:pPr>
      <w:r>
        <w:rPr>
          <w:rFonts w:hint="eastAsia" w:ascii="仿宋_GB2312" w:hAnsi="宋体" w:eastAsia="仿宋_GB2312"/>
          <w:b/>
          <w:bCs/>
          <w:color w:val="000000"/>
          <w:sz w:val="32"/>
          <w:szCs w:val="32"/>
          <w:lang w:val="en-US" w:eastAsia="zh-CN"/>
        </w:rPr>
        <w:t>六、</w:t>
      </w:r>
      <w:r>
        <w:rPr>
          <w:rFonts w:hint="eastAsia" w:ascii="仿宋_GB2312" w:hAnsi="宋体" w:eastAsia="仿宋_GB2312"/>
          <w:b/>
          <w:bCs/>
          <w:color w:val="000000"/>
          <w:sz w:val="32"/>
          <w:szCs w:val="32"/>
        </w:rPr>
        <w:t>关于201</w:t>
      </w:r>
      <w:r>
        <w:rPr>
          <w:rFonts w:hint="eastAsia" w:ascii="仿宋_GB2312" w:hAnsi="宋体" w:eastAsia="仿宋_GB2312"/>
          <w:b/>
          <w:bCs/>
          <w:color w:val="000000"/>
          <w:sz w:val="32"/>
          <w:szCs w:val="32"/>
          <w:lang w:val="en-US" w:eastAsia="zh-CN"/>
        </w:rPr>
        <w:t>8</w:t>
      </w:r>
      <w:r>
        <w:rPr>
          <w:rFonts w:hint="eastAsia" w:ascii="仿宋_GB2312" w:hAnsi="宋体" w:eastAsia="仿宋_GB2312"/>
          <w:b/>
          <w:bCs/>
          <w:color w:val="000000"/>
          <w:sz w:val="32"/>
          <w:szCs w:val="32"/>
        </w:rPr>
        <w:t>年度预算绩效情况的说明</w:t>
      </w:r>
    </w:p>
    <w:p>
      <w:pPr>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lang w:eastAsia="zh-CN"/>
        </w:rPr>
        <w:t>预算</w:t>
      </w:r>
      <w:r>
        <w:rPr>
          <w:rFonts w:hint="eastAsia" w:ascii="仿宋_GB2312" w:hAnsi="宋体" w:eastAsia="仿宋_GB2312"/>
          <w:color w:val="000000"/>
          <w:sz w:val="32"/>
          <w:szCs w:val="32"/>
        </w:rPr>
        <w:t>绩效管理工作开展情况。根据预算绩效管理要求，我</w:t>
      </w:r>
      <w:r>
        <w:rPr>
          <w:rFonts w:hint="eastAsia" w:ascii="仿宋_GB2312" w:hAnsi="宋体" w:eastAsia="仿宋_GB2312"/>
          <w:color w:val="000000"/>
          <w:sz w:val="32"/>
          <w:szCs w:val="32"/>
          <w:lang w:val="en-US" w:eastAsia="zh-CN"/>
        </w:rPr>
        <w:t>校已</w:t>
      </w:r>
      <w:r>
        <w:rPr>
          <w:rFonts w:hint="eastAsia" w:ascii="仿宋_GB2312" w:hAnsi="宋体" w:eastAsia="仿宋_GB2312"/>
          <w:color w:val="000000"/>
          <w:sz w:val="32"/>
          <w:szCs w:val="32"/>
        </w:rPr>
        <w:t>组织对2018年度高职创新强校奖补</w:t>
      </w:r>
      <w:r>
        <w:rPr>
          <w:rFonts w:hint="eastAsia" w:ascii="仿宋_GB2312" w:hAnsi="宋体" w:eastAsia="仿宋_GB2312"/>
          <w:color w:val="000000"/>
          <w:sz w:val="32"/>
          <w:szCs w:val="32"/>
          <w:lang w:eastAsia="zh-CN"/>
        </w:rPr>
        <w:t>、职业教育集团建设资金、中小学幼儿园教师、校（园）长省级培训-本级、珠江学者岗位津贴项目、广东省高校2018年本专科生国家奖助学金(省级）</w:t>
      </w:r>
      <w:r>
        <w:rPr>
          <w:rFonts w:hint="eastAsia" w:ascii="仿宋_GB2312" w:hAnsi="宋体" w:eastAsia="仿宋_GB2312"/>
          <w:color w:val="000000"/>
          <w:sz w:val="32"/>
          <w:szCs w:val="32"/>
        </w:rPr>
        <w:t>等</w:t>
      </w:r>
      <w:r>
        <w:rPr>
          <w:rFonts w:hint="eastAsia" w:ascii="仿宋_GB2312" w:hAnsi="宋体" w:eastAsia="仿宋_GB2312"/>
          <w:color w:val="000000"/>
          <w:sz w:val="32"/>
          <w:szCs w:val="32"/>
          <w:lang w:val="en-US" w:eastAsia="zh-CN"/>
        </w:rPr>
        <w:t>6</w:t>
      </w:r>
      <w:r>
        <w:rPr>
          <w:rFonts w:hint="eastAsia" w:ascii="仿宋_GB2312" w:hAnsi="宋体" w:eastAsia="仿宋_GB2312"/>
          <w:color w:val="000000"/>
          <w:sz w:val="32"/>
          <w:szCs w:val="32"/>
        </w:rPr>
        <w:t>个一般公共预算项目支出全面开展绩效自评，共涉及资金</w:t>
      </w:r>
      <w:r>
        <w:rPr>
          <w:rFonts w:hint="eastAsia" w:ascii="仿宋_GB2312" w:hAnsi="宋体" w:eastAsia="仿宋_GB2312"/>
          <w:color w:val="000000"/>
          <w:sz w:val="32"/>
          <w:szCs w:val="32"/>
          <w:lang w:val="en-US" w:eastAsia="zh-CN"/>
        </w:rPr>
        <w:t>4060.97</w:t>
      </w:r>
      <w:r>
        <w:rPr>
          <w:rFonts w:hint="eastAsia" w:ascii="仿宋_GB2312" w:hAnsi="宋体" w:eastAsia="仿宋_GB2312"/>
          <w:color w:val="000000"/>
          <w:sz w:val="32"/>
          <w:szCs w:val="32"/>
        </w:rPr>
        <w:t>万元，占一般公共预算项目支出总额的</w:t>
      </w:r>
      <w:r>
        <w:rPr>
          <w:rFonts w:hint="eastAsia" w:ascii="仿宋_GB2312" w:hAnsi="宋体" w:eastAsia="仿宋_GB2312"/>
          <w:color w:val="000000"/>
          <w:sz w:val="32"/>
          <w:szCs w:val="32"/>
          <w:lang w:val="en-US" w:eastAsia="zh-CN"/>
        </w:rPr>
        <w:t>43.44</w:t>
      </w:r>
      <w:r>
        <w:rPr>
          <w:rFonts w:hint="eastAsia" w:ascii="仿宋_GB2312" w:hAnsi="宋体" w:eastAsia="仿宋_GB2312"/>
          <w:color w:val="000000"/>
          <w:sz w:val="32"/>
          <w:szCs w:val="32"/>
        </w:rPr>
        <w:t>%。</w:t>
      </w:r>
    </w:p>
    <w:p>
      <w:pPr>
        <w:ind w:firstLine="643" w:firstLineChars="200"/>
        <w:rPr>
          <w:rFonts w:ascii="仿宋_GB2312" w:hAnsi="宋体" w:eastAsia="仿宋_GB2312"/>
          <w:b/>
          <w:bCs/>
          <w:color w:val="000000"/>
          <w:sz w:val="32"/>
          <w:szCs w:val="32"/>
        </w:rPr>
      </w:pPr>
      <w:r>
        <w:rPr>
          <w:rFonts w:hint="eastAsia" w:ascii="仿宋_GB2312" w:hAnsi="宋体" w:eastAsia="仿宋_GB2312"/>
          <w:b/>
          <w:bCs/>
          <w:color w:val="000000"/>
          <w:sz w:val="32"/>
          <w:szCs w:val="32"/>
          <w:lang w:val="en-US" w:eastAsia="zh-CN"/>
        </w:rPr>
        <w:t>七</w:t>
      </w:r>
      <w:r>
        <w:rPr>
          <w:rFonts w:hint="eastAsia" w:ascii="仿宋_GB2312" w:hAnsi="宋体" w:eastAsia="仿宋_GB2312"/>
          <w:b/>
          <w:bCs/>
          <w:color w:val="000000"/>
          <w:sz w:val="32"/>
          <w:szCs w:val="32"/>
        </w:rPr>
        <w:t>、名词解释</w:t>
      </w:r>
    </w:p>
    <w:p>
      <w:pPr>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1、财政拨款收入：是指省财政当年拨付的资金。</w:t>
      </w:r>
    </w:p>
    <w:p>
      <w:pPr>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2、事业收入：是指事业单位开展专业活动及辅助活动所取得的收入。</w:t>
      </w:r>
    </w:p>
    <w:p>
      <w:pPr>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3、其他收入：是指部门取得的除“财政拨款”、“事业收入”、“事业单位经营收入”等以外的收入。</w:t>
      </w:r>
    </w:p>
    <w:p>
      <w:pPr>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4、用事业基金弥补收支差额：是指事业单位在当年的“财政拨款收入”、“事业收入”、“经营收入”和“其他收入”不足以安排当年支出的情况下，使用以前年度积累的事业基金（即事业单位以前各年度收支相抵后，按国家规定提取用于弥补以后年度收</w:t>
      </w:r>
      <w:r>
        <w:rPr>
          <w:rFonts w:ascii="仿宋_GB2312" w:hAnsi="宋体" w:eastAsia="仿宋_GB2312"/>
          <w:color w:val="000000"/>
          <w:sz w:val="32"/>
          <w:szCs w:val="32"/>
        </w:rPr>
        <w:t> </w:t>
      </w:r>
      <w:r>
        <w:rPr>
          <w:rFonts w:hint="eastAsia" w:ascii="仿宋_GB2312" w:hAnsi="宋体" w:eastAsia="仿宋_GB2312"/>
          <w:color w:val="000000"/>
          <w:sz w:val="32"/>
          <w:szCs w:val="32"/>
        </w:rPr>
        <w:t>支差额的基金）弥补当年收支缺口的资金。</w:t>
      </w:r>
    </w:p>
    <w:p>
      <w:pPr>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5、上年结转和结余：是指以前年度支出预算因客观条件变化未执行完毕、结转到本年度按有关规定继续使用的资金，既包括财政拨款结转和结余，也包括事业收入、经营收入、其他收入的结转和结余。</w:t>
      </w:r>
    </w:p>
    <w:p>
      <w:pPr>
        <w:ind w:firstLine="640" w:firstLineChars="200"/>
        <w:rPr>
          <w:rFonts w:ascii="仿宋_GB2312" w:hAnsi="宋体" w:eastAsia="仿宋_GB2312"/>
          <w:color w:val="000000"/>
          <w:sz w:val="32"/>
          <w:szCs w:val="32"/>
          <w:highlight w:val="yellow"/>
        </w:rPr>
      </w:pPr>
    </w:p>
    <w:p>
      <w:pPr>
        <w:ind w:firstLine="640" w:firstLineChars="200"/>
        <w:rPr>
          <w:rFonts w:ascii="仿宋_GB2312" w:hAnsi="宋体" w:eastAsia="仿宋_GB2312"/>
          <w:color w:val="000000"/>
          <w:sz w:val="32"/>
          <w:szCs w:val="32"/>
          <w:highlight w:val="yellow"/>
        </w:rPr>
      </w:pPr>
    </w:p>
    <w:p>
      <w:pPr>
        <w:ind w:firstLine="640" w:firstLineChars="200"/>
        <w:rPr>
          <w:rFonts w:ascii="仿宋_GB2312" w:hAnsi="宋体" w:eastAsia="仿宋_GB2312"/>
          <w:color w:val="000000"/>
          <w:sz w:val="32"/>
          <w:szCs w:val="32"/>
          <w:highlight w:val="yellow"/>
        </w:rPr>
      </w:pPr>
    </w:p>
    <w:p>
      <w:pPr>
        <w:ind w:firstLine="4640" w:firstLineChars="1450"/>
        <w:rPr>
          <w:rFonts w:ascii="仿宋_GB2312" w:hAnsi="宋体" w:eastAsia="仿宋_GB2312"/>
          <w:sz w:val="32"/>
          <w:szCs w:val="32"/>
        </w:rPr>
      </w:pPr>
      <w:r>
        <w:rPr>
          <w:rFonts w:hint="eastAsia" w:ascii="仿宋_GB2312" w:hAnsi="宋体" w:eastAsia="仿宋_GB2312"/>
          <w:sz w:val="32"/>
          <w:szCs w:val="32"/>
        </w:rPr>
        <w:t>二〇一九年八月三十日</w:t>
      </w:r>
    </w:p>
    <w:p/>
    <w:sectPr>
      <w:pgSz w:w="11906" w:h="16838"/>
      <w:pgMar w:top="1440" w:right="1474" w:bottom="1440"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347E3"/>
    <w:rsid w:val="00014828"/>
    <w:rsid w:val="000439A9"/>
    <w:rsid w:val="00056730"/>
    <w:rsid w:val="00072C5A"/>
    <w:rsid w:val="000B5A80"/>
    <w:rsid w:val="000C5F5B"/>
    <w:rsid w:val="000D4648"/>
    <w:rsid w:val="000D4E7F"/>
    <w:rsid w:val="000E3632"/>
    <w:rsid w:val="000E4273"/>
    <w:rsid w:val="00142AC7"/>
    <w:rsid w:val="00162E3A"/>
    <w:rsid w:val="00170E95"/>
    <w:rsid w:val="00184DAF"/>
    <w:rsid w:val="00185045"/>
    <w:rsid w:val="001955BA"/>
    <w:rsid w:val="001B43ED"/>
    <w:rsid w:val="001D35BD"/>
    <w:rsid w:val="001E52F8"/>
    <w:rsid w:val="002056F6"/>
    <w:rsid w:val="0024249C"/>
    <w:rsid w:val="0025373D"/>
    <w:rsid w:val="00256400"/>
    <w:rsid w:val="002A1473"/>
    <w:rsid w:val="002A55E7"/>
    <w:rsid w:val="002E2656"/>
    <w:rsid w:val="002F60EE"/>
    <w:rsid w:val="00310C59"/>
    <w:rsid w:val="00326DC2"/>
    <w:rsid w:val="00354A4E"/>
    <w:rsid w:val="00384FB8"/>
    <w:rsid w:val="003C2A9C"/>
    <w:rsid w:val="00421683"/>
    <w:rsid w:val="0042669B"/>
    <w:rsid w:val="0043640C"/>
    <w:rsid w:val="00466530"/>
    <w:rsid w:val="004A5FFE"/>
    <w:rsid w:val="004B5479"/>
    <w:rsid w:val="004B6058"/>
    <w:rsid w:val="004C18F0"/>
    <w:rsid w:val="004E6048"/>
    <w:rsid w:val="00527716"/>
    <w:rsid w:val="00534E85"/>
    <w:rsid w:val="005418B5"/>
    <w:rsid w:val="0054747E"/>
    <w:rsid w:val="005D2800"/>
    <w:rsid w:val="005E1C74"/>
    <w:rsid w:val="006006B7"/>
    <w:rsid w:val="006073AF"/>
    <w:rsid w:val="00614BC7"/>
    <w:rsid w:val="00643936"/>
    <w:rsid w:val="0064700D"/>
    <w:rsid w:val="00651579"/>
    <w:rsid w:val="0065602C"/>
    <w:rsid w:val="00695AAD"/>
    <w:rsid w:val="006970DC"/>
    <w:rsid w:val="00697C3D"/>
    <w:rsid w:val="006A4AB8"/>
    <w:rsid w:val="006A5467"/>
    <w:rsid w:val="006D6410"/>
    <w:rsid w:val="006D6E39"/>
    <w:rsid w:val="00764039"/>
    <w:rsid w:val="00791AFC"/>
    <w:rsid w:val="007B5334"/>
    <w:rsid w:val="007C01C6"/>
    <w:rsid w:val="00836013"/>
    <w:rsid w:val="00847249"/>
    <w:rsid w:val="00854E94"/>
    <w:rsid w:val="008852E0"/>
    <w:rsid w:val="008B4685"/>
    <w:rsid w:val="008C3265"/>
    <w:rsid w:val="008E4B69"/>
    <w:rsid w:val="00911D2C"/>
    <w:rsid w:val="00984272"/>
    <w:rsid w:val="009A38D0"/>
    <w:rsid w:val="009A3BD0"/>
    <w:rsid w:val="009E2D9C"/>
    <w:rsid w:val="00AC3667"/>
    <w:rsid w:val="00AF1474"/>
    <w:rsid w:val="00B231ED"/>
    <w:rsid w:val="00B76579"/>
    <w:rsid w:val="00B9753F"/>
    <w:rsid w:val="00BA1B37"/>
    <w:rsid w:val="00BF092B"/>
    <w:rsid w:val="00BF7C86"/>
    <w:rsid w:val="00C01EE7"/>
    <w:rsid w:val="00C1301C"/>
    <w:rsid w:val="00C541C2"/>
    <w:rsid w:val="00C56343"/>
    <w:rsid w:val="00C826CB"/>
    <w:rsid w:val="00C9055F"/>
    <w:rsid w:val="00D0379D"/>
    <w:rsid w:val="00D80725"/>
    <w:rsid w:val="00D836C8"/>
    <w:rsid w:val="00DC3873"/>
    <w:rsid w:val="00DC3E91"/>
    <w:rsid w:val="00E237C9"/>
    <w:rsid w:val="00E6688A"/>
    <w:rsid w:val="00E72591"/>
    <w:rsid w:val="00EB37DB"/>
    <w:rsid w:val="00EB6899"/>
    <w:rsid w:val="00EC3AD6"/>
    <w:rsid w:val="00EC62E1"/>
    <w:rsid w:val="00EE3DA5"/>
    <w:rsid w:val="00F22FC3"/>
    <w:rsid w:val="00F347E3"/>
    <w:rsid w:val="00F76993"/>
    <w:rsid w:val="00F82E11"/>
    <w:rsid w:val="00F94038"/>
    <w:rsid w:val="00FC7811"/>
    <w:rsid w:val="00FD4AA0"/>
    <w:rsid w:val="2BFA77E9"/>
    <w:rsid w:val="41C82C36"/>
    <w:rsid w:val="501C7E80"/>
    <w:rsid w:val="50B22D6F"/>
    <w:rsid w:val="6BBD225D"/>
    <w:rsid w:val="79E67F87"/>
    <w:rsid w:val="7C247EF0"/>
    <w:rsid w:val="7D5D5EF6"/>
    <w:rsid w:val="7F1E7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7"/>
    <w:qFormat/>
    <w:uiPriority w:val="0"/>
    <w:pPr>
      <w:jc w:val="left"/>
    </w:p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文字 Char"/>
    <w:basedOn w:val="6"/>
    <w:link w:val="2"/>
    <w:uiPriority w:val="0"/>
    <w:rPr>
      <w:rFonts w:ascii="Times New Roman" w:hAnsi="Times New Roman" w:eastAsia="宋体" w:cs="Times New Roman"/>
      <w:szCs w:val="24"/>
    </w:rPr>
  </w:style>
  <w:style w:type="character" w:customStyle="1" w:styleId="8">
    <w:name w:val="页眉 Char"/>
    <w:basedOn w:val="6"/>
    <w:link w:val="4"/>
    <w:semiHidden/>
    <w:qFormat/>
    <w:uiPriority w:val="99"/>
    <w:rPr>
      <w:rFonts w:ascii="Times New Roman" w:hAnsi="Times New Roman" w:eastAsia="宋体" w:cs="Times New Roman"/>
      <w:sz w:val="18"/>
      <w:szCs w:val="18"/>
    </w:rPr>
  </w:style>
  <w:style w:type="character" w:customStyle="1" w:styleId="9">
    <w:name w:val="页脚 Char"/>
    <w:basedOn w:val="6"/>
    <w:link w:val="3"/>
    <w:semiHidden/>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645</Words>
  <Characters>3678</Characters>
  <Lines>30</Lines>
  <Paragraphs>8</Paragraphs>
  <TotalTime>49</TotalTime>
  <ScaleCrop>false</ScaleCrop>
  <LinksUpToDate>false</LinksUpToDate>
  <CharactersWithSpaces>4315</CharactersWithSpaces>
  <Application>WPS Office_11.1.0.8986_F1E327BC-269C-435d-A152-05C5408002CA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2019-08-18T08:21:00Z</dcterms:created>
  <dc:creator>郭国福</dc:creator>
  <cp:lastModifiedBy>dell</cp:lastModifiedBy>
  <cp:lastPrinted>2019-08-20T08:22:00Z</cp:lastPrinted>
  <dcterms:modified xsi:type="dcterms:W3CDTF">2019-08-30T05:43:53Z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